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4C3" w:rsidRDefault="00F724C3" w:rsidP="00F724C3">
      <w:pPr>
        <w:spacing w:after="150" w:line="240" w:lineRule="auto"/>
        <w:jc w:val="center"/>
        <w:textAlignment w:val="top"/>
        <w:rPr>
          <w:rFonts w:ascii="Helvetica" w:eastAsia="Times New Roman" w:hAnsi="Helvetica" w:cs="Arial"/>
          <w:b/>
          <w:bCs/>
          <w:color w:val="292929"/>
          <w:sz w:val="18"/>
          <w:lang w:eastAsia="it-IT"/>
        </w:rPr>
      </w:pPr>
      <w:r>
        <w:rPr>
          <w:rFonts w:ascii="Helvetica" w:eastAsia="Times New Roman" w:hAnsi="Helvetica" w:cs="Arial"/>
          <w:b/>
          <w:bCs/>
          <w:color w:val="292929"/>
          <w:sz w:val="18"/>
          <w:lang w:eastAsia="it-IT"/>
        </w:rPr>
        <w:t>Garante per la protezione dei dati personali</w:t>
      </w:r>
    </w:p>
    <w:p w:rsidR="00F724C3" w:rsidRPr="00F724C3" w:rsidRDefault="00F724C3" w:rsidP="00F724C3">
      <w:pPr>
        <w:spacing w:after="150" w:line="240" w:lineRule="auto"/>
        <w:jc w:val="both"/>
        <w:textAlignment w:val="top"/>
        <w:rPr>
          <w:rFonts w:ascii="Helvetica" w:eastAsia="Times New Roman" w:hAnsi="Helvetica" w:cs="Arial"/>
          <w:color w:val="292929"/>
          <w:sz w:val="20"/>
          <w:szCs w:val="20"/>
          <w:lang w:eastAsia="it-IT"/>
        </w:rPr>
      </w:pPr>
      <w:r w:rsidRPr="00F724C3">
        <w:rPr>
          <w:rFonts w:ascii="Helvetica" w:eastAsia="Times New Roman" w:hAnsi="Helvetica" w:cs="Arial"/>
          <w:b/>
          <w:bCs/>
          <w:color w:val="292929"/>
          <w:sz w:val="18"/>
          <w:lang w:eastAsia="it-IT"/>
        </w:rPr>
        <w:t>Regolamento Ue: al via il secondo ciclo di incontri organizzati dal Garante privacy per le Pubbliche amministrazioni</w:t>
      </w:r>
      <w:r w:rsidRPr="00F724C3">
        <w:rPr>
          <w:rFonts w:ascii="Helvetica" w:eastAsia="Times New Roman" w:hAnsi="Helvetica" w:cs="Arial"/>
          <w:color w:val="292929"/>
          <w:sz w:val="20"/>
          <w:szCs w:val="20"/>
          <w:lang w:eastAsia="it-IT"/>
        </w:rPr>
        <w:br/>
      </w:r>
      <w:r w:rsidRPr="00F724C3">
        <w:rPr>
          <w:rFonts w:ascii="Helvetica" w:eastAsia="Times New Roman" w:hAnsi="Helvetica" w:cs="Arial"/>
          <w:i/>
          <w:iCs/>
          <w:color w:val="292929"/>
          <w:sz w:val="18"/>
          <w:lang w:eastAsia="it-IT"/>
        </w:rPr>
        <w:t>Si parte il 7 novembre a Roma</w:t>
      </w:r>
    </w:p>
    <w:p w:rsidR="00F724C3" w:rsidRPr="00F724C3" w:rsidRDefault="00F724C3" w:rsidP="00F724C3">
      <w:pPr>
        <w:spacing w:before="150" w:after="150" w:line="240" w:lineRule="auto"/>
        <w:jc w:val="both"/>
        <w:textAlignment w:val="top"/>
        <w:rPr>
          <w:rFonts w:ascii="Helvetica" w:eastAsia="Times New Roman" w:hAnsi="Helvetica" w:cs="Arial"/>
          <w:color w:val="292929"/>
          <w:sz w:val="20"/>
          <w:szCs w:val="20"/>
          <w:lang w:eastAsia="it-IT"/>
        </w:rPr>
      </w:pPr>
      <w:r w:rsidRPr="00F724C3">
        <w:rPr>
          <w:rFonts w:ascii="Helvetica" w:eastAsia="Times New Roman" w:hAnsi="Helvetica" w:cs="Arial"/>
          <w:color w:val="292929"/>
          <w:sz w:val="18"/>
          <w:szCs w:val="18"/>
          <w:lang w:eastAsia="it-IT"/>
        </w:rPr>
        <w:t xml:space="preserve">Continua l'iniziativa formativa del Garante per la protezione dei dati personali finalizzata a favorire la conoscenza da parte delle pubbliche amministrazioni delle novità introdotte dal </w:t>
      </w:r>
      <w:hyperlink r:id="rId4" w:history="1">
        <w:r w:rsidRPr="00F724C3">
          <w:rPr>
            <w:rFonts w:ascii="Helvetica" w:eastAsia="Times New Roman" w:hAnsi="Helvetica" w:cs="Arial"/>
            <w:b/>
            <w:bCs/>
            <w:color w:val="1C6685"/>
            <w:sz w:val="18"/>
            <w:szCs w:val="18"/>
            <w:lang w:eastAsia="it-IT"/>
          </w:rPr>
          <w:t xml:space="preserve">Regolamento (UE) 2016/679 </w:t>
        </w:r>
      </w:hyperlink>
      <w:r w:rsidRPr="00F724C3">
        <w:rPr>
          <w:rFonts w:ascii="Helvetica" w:eastAsia="Times New Roman" w:hAnsi="Helvetica" w:cs="Arial"/>
          <w:color w:val="292929"/>
          <w:sz w:val="18"/>
          <w:szCs w:val="18"/>
          <w:lang w:eastAsia="it-IT"/>
        </w:rPr>
        <w:t>(regolamento generale in materia di protezione dati), la cui piena applicazione è prevista dal 25 maggio 2018. Il progetto ha lo scopo di accompagnare il processo di adeguamento dei soggetti pubblici alle nuove norme e di fornire indicazioni utili, raccogliere  le eventuali esigenze di chiarimento, conoscere le azioni messe già in atto, condividere gli approfondimenti svolti e le riflessioni eventualmente già maturate.</w:t>
      </w:r>
    </w:p>
    <w:p w:rsidR="00F724C3" w:rsidRPr="00F724C3" w:rsidRDefault="00F724C3" w:rsidP="00F724C3">
      <w:pPr>
        <w:spacing w:before="150" w:after="150" w:line="240" w:lineRule="auto"/>
        <w:jc w:val="both"/>
        <w:textAlignment w:val="top"/>
        <w:rPr>
          <w:rFonts w:ascii="Helvetica" w:eastAsia="Times New Roman" w:hAnsi="Helvetica" w:cs="Arial"/>
          <w:color w:val="292929"/>
          <w:sz w:val="20"/>
          <w:szCs w:val="20"/>
          <w:lang w:eastAsia="it-IT"/>
        </w:rPr>
      </w:pPr>
      <w:r w:rsidRPr="00F724C3">
        <w:rPr>
          <w:rFonts w:ascii="Helvetica" w:eastAsia="Times New Roman" w:hAnsi="Helvetica" w:cs="Arial"/>
          <w:color w:val="292929"/>
          <w:sz w:val="18"/>
          <w:szCs w:val="18"/>
          <w:lang w:eastAsia="it-IT"/>
        </w:rPr>
        <w:t xml:space="preserve">Il nuovo ciclo di eventi formativi – </w:t>
      </w:r>
      <w:hyperlink r:id="rId5" w:history="1">
        <w:r w:rsidRPr="00F724C3">
          <w:rPr>
            <w:rFonts w:ascii="Helvetica" w:eastAsia="Times New Roman" w:hAnsi="Helvetica" w:cs="Arial"/>
            <w:b/>
            <w:bCs/>
            <w:color w:val="1C6685"/>
            <w:sz w:val="18"/>
            <w:szCs w:val="18"/>
            <w:lang w:eastAsia="it-IT"/>
          </w:rPr>
          <w:t>che fa seguito a quelli dello scorso giugno</w:t>
        </w:r>
      </w:hyperlink>
      <w:r w:rsidRPr="00F724C3">
        <w:rPr>
          <w:rFonts w:ascii="Helvetica" w:eastAsia="Times New Roman" w:hAnsi="Helvetica" w:cs="Arial"/>
          <w:color w:val="292929"/>
          <w:sz w:val="18"/>
          <w:szCs w:val="18"/>
          <w:lang w:eastAsia="it-IT"/>
        </w:rPr>
        <w:t xml:space="preserve"> – partirà il </w:t>
      </w:r>
      <w:r w:rsidRPr="00F724C3">
        <w:rPr>
          <w:rFonts w:ascii="Helvetica" w:eastAsia="Times New Roman" w:hAnsi="Helvetica" w:cs="Arial"/>
          <w:b/>
          <w:bCs/>
          <w:color w:val="292929"/>
          <w:sz w:val="18"/>
          <w:lang w:eastAsia="it-IT"/>
        </w:rPr>
        <w:t>7 novembre a Roma</w:t>
      </w:r>
      <w:r w:rsidRPr="00F724C3">
        <w:rPr>
          <w:rFonts w:ascii="Helvetica" w:eastAsia="Times New Roman" w:hAnsi="Helvetica" w:cs="Arial"/>
          <w:color w:val="292929"/>
          <w:sz w:val="18"/>
          <w:szCs w:val="18"/>
          <w:lang w:eastAsia="it-IT"/>
        </w:rPr>
        <w:t xml:space="preserve"> con un incontro destinato alle amministrazioni centrali presso il Centro Carlo Azeglio Ciampi per l'educazione monetaria e finanziaria della Banca d'Italia. Nei limiti della capienza della sala, sono ancora disponibili alcuni posti per enti pubblici interessati ad assistere all'evento (con un massimo di un partecipante per ciascuno), che possono inoltrare, </w:t>
      </w:r>
      <w:r w:rsidRPr="00F724C3">
        <w:rPr>
          <w:rFonts w:ascii="Helvetica" w:eastAsia="Times New Roman" w:hAnsi="Helvetica" w:cs="Arial"/>
          <w:b/>
          <w:bCs/>
          <w:color w:val="292929"/>
          <w:sz w:val="18"/>
          <w:lang w:eastAsia="it-IT"/>
        </w:rPr>
        <w:t>entro il 31 ottobre p.v</w:t>
      </w:r>
      <w:r w:rsidRPr="00F724C3">
        <w:rPr>
          <w:rFonts w:ascii="Helvetica" w:eastAsia="Times New Roman" w:hAnsi="Helvetica" w:cs="Arial"/>
          <w:color w:val="292929"/>
          <w:sz w:val="18"/>
          <w:szCs w:val="18"/>
          <w:lang w:eastAsia="it-IT"/>
        </w:rPr>
        <w:t xml:space="preserve">., una richiesta all'indirizzo e-mail: </w:t>
      </w:r>
      <w:hyperlink r:id="rId6" w:history="1">
        <w:r w:rsidRPr="00F724C3">
          <w:rPr>
            <w:rFonts w:ascii="Helvetica" w:eastAsia="Times New Roman" w:hAnsi="Helvetica" w:cs="Arial"/>
            <w:b/>
            <w:bCs/>
            <w:color w:val="1C6685"/>
            <w:sz w:val="18"/>
            <w:szCs w:val="18"/>
            <w:lang w:eastAsia="it-IT"/>
          </w:rPr>
          <w:t>incontripa@gpdp.it</w:t>
        </w:r>
      </w:hyperlink>
      <w:r w:rsidRPr="00F724C3">
        <w:rPr>
          <w:rFonts w:ascii="Helvetica" w:eastAsia="Times New Roman" w:hAnsi="Helvetica" w:cs="Arial"/>
          <w:color w:val="292929"/>
          <w:sz w:val="18"/>
          <w:szCs w:val="18"/>
          <w:lang w:eastAsia="it-IT"/>
        </w:rPr>
        <w:t xml:space="preserve">. </w:t>
      </w:r>
    </w:p>
    <w:p w:rsidR="00F724C3" w:rsidRPr="00F724C3" w:rsidRDefault="00F724C3" w:rsidP="00F724C3">
      <w:pPr>
        <w:spacing w:before="150" w:after="150" w:line="240" w:lineRule="auto"/>
        <w:jc w:val="both"/>
        <w:textAlignment w:val="top"/>
        <w:rPr>
          <w:rFonts w:ascii="Helvetica" w:eastAsia="Times New Roman" w:hAnsi="Helvetica" w:cs="Arial"/>
          <w:color w:val="292929"/>
          <w:sz w:val="20"/>
          <w:szCs w:val="20"/>
          <w:lang w:eastAsia="it-IT"/>
        </w:rPr>
      </w:pPr>
      <w:r w:rsidRPr="00F724C3">
        <w:rPr>
          <w:rFonts w:ascii="Helvetica" w:eastAsia="Times New Roman" w:hAnsi="Helvetica" w:cs="Arial"/>
          <w:color w:val="292929"/>
          <w:sz w:val="18"/>
          <w:szCs w:val="18"/>
          <w:lang w:eastAsia="it-IT"/>
        </w:rPr>
        <w:t xml:space="preserve">Le date, le sedi e le modalità di partecipazione relative ai successivi incontri – previsti nei prossimi mesi di dicembre e gennaio a Milano e Bari - saranno comunicate sul sito web del Garante </w:t>
      </w:r>
      <w:hyperlink r:id="rId7" w:history="1">
        <w:r w:rsidRPr="00F724C3">
          <w:rPr>
            <w:rFonts w:ascii="Helvetica" w:eastAsia="Times New Roman" w:hAnsi="Helvetica" w:cs="Arial"/>
            <w:b/>
            <w:bCs/>
            <w:color w:val="1C6685"/>
            <w:sz w:val="18"/>
            <w:szCs w:val="18"/>
            <w:lang w:eastAsia="it-IT"/>
          </w:rPr>
          <w:t>www.garanteprivacy.it</w:t>
        </w:r>
      </w:hyperlink>
      <w:r w:rsidRPr="00F724C3">
        <w:rPr>
          <w:rFonts w:ascii="Helvetica" w:eastAsia="Times New Roman" w:hAnsi="Helvetica" w:cs="Arial"/>
          <w:color w:val="292929"/>
          <w:sz w:val="18"/>
          <w:szCs w:val="18"/>
          <w:lang w:eastAsia="it-IT"/>
        </w:rPr>
        <w:t xml:space="preserve">. </w:t>
      </w:r>
    </w:p>
    <w:p w:rsidR="00F724C3" w:rsidRPr="00F724C3" w:rsidRDefault="00F724C3" w:rsidP="00F724C3">
      <w:pPr>
        <w:spacing w:before="150" w:after="150" w:line="240" w:lineRule="auto"/>
        <w:jc w:val="both"/>
        <w:textAlignment w:val="top"/>
        <w:rPr>
          <w:rFonts w:ascii="Helvetica" w:eastAsia="Times New Roman" w:hAnsi="Helvetica" w:cs="Arial"/>
          <w:color w:val="292929"/>
          <w:sz w:val="20"/>
          <w:szCs w:val="20"/>
          <w:lang w:eastAsia="it-IT"/>
        </w:rPr>
      </w:pPr>
      <w:r w:rsidRPr="00F724C3">
        <w:rPr>
          <w:rFonts w:ascii="Helvetica" w:eastAsia="Times New Roman" w:hAnsi="Helvetica" w:cs="Arial"/>
          <w:color w:val="292929"/>
          <w:sz w:val="18"/>
          <w:szCs w:val="18"/>
          <w:lang w:eastAsia="it-IT"/>
        </w:rPr>
        <w:t xml:space="preserve">Sulla </w:t>
      </w:r>
      <w:hyperlink r:id="rId8" w:history="1">
        <w:r w:rsidRPr="00F724C3">
          <w:rPr>
            <w:rFonts w:ascii="Helvetica" w:eastAsia="Times New Roman" w:hAnsi="Helvetica" w:cs="Arial"/>
            <w:b/>
            <w:bCs/>
            <w:color w:val="1C6685"/>
            <w:sz w:val="18"/>
            <w:szCs w:val="18"/>
            <w:lang w:eastAsia="it-IT"/>
          </w:rPr>
          <w:t>pagina web dedicata all'iniziativa</w:t>
        </w:r>
      </w:hyperlink>
      <w:r w:rsidRPr="00F724C3">
        <w:rPr>
          <w:rFonts w:ascii="Helvetica" w:eastAsia="Times New Roman" w:hAnsi="Helvetica" w:cs="Arial"/>
          <w:color w:val="292929"/>
          <w:sz w:val="18"/>
          <w:szCs w:val="18"/>
          <w:lang w:eastAsia="it-IT"/>
        </w:rPr>
        <w:t xml:space="preserve"> e sui </w:t>
      </w:r>
      <w:hyperlink r:id="rId9" w:history="1">
        <w:r w:rsidRPr="00F724C3">
          <w:rPr>
            <w:rFonts w:ascii="Helvetica" w:eastAsia="Times New Roman" w:hAnsi="Helvetica" w:cs="Arial"/>
            <w:b/>
            <w:bCs/>
            <w:color w:val="1C6685"/>
            <w:sz w:val="18"/>
            <w:szCs w:val="18"/>
            <w:lang w:eastAsia="it-IT"/>
          </w:rPr>
          <w:t>profili social istituzionali dell'Autorità</w:t>
        </w:r>
      </w:hyperlink>
      <w:r w:rsidRPr="00F724C3">
        <w:rPr>
          <w:rFonts w:ascii="Helvetica" w:eastAsia="Times New Roman" w:hAnsi="Helvetica" w:cs="Arial"/>
          <w:color w:val="292929"/>
          <w:sz w:val="18"/>
          <w:szCs w:val="18"/>
          <w:lang w:eastAsia="it-IT"/>
        </w:rPr>
        <w:t xml:space="preserve"> saranno successivamente resi disponibili materiali e documenti relativi agli eventi, per favorire la massima diffusione delle informazioni.</w:t>
      </w:r>
    </w:p>
    <w:p w:rsidR="00F724C3" w:rsidRPr="00F724C3" w:rsidRDefault="00F724C3" w:rsidP="00F724C3">
      <w:pPr>
        <w:spacing w:before="150" w:after="150" w:line="240" w:lineRule="auto"/>
        <w:jc w:val="both"/>
        <w:textAlignment w:val="top"/>
        <w:rPr>
          <w:rFonts w:ascii="Helvetica" w:eastAsia="Times New Roman" w:hAnsi="Helvetica" w:cs="Arial"/>
          <w:color w:val="292929"/>
          <w:sz w:val="20"/>
          <w:szCs w:val="20"/>
          <w:lang w:eastAsia="it-IT"/>
        </w:rPr>
      </w:pPr>
      <w:r w:rsidRPr="00F724C3">
        <w:rPr>
          <w:rFonts w:ascii="Helvetica" w:eastAsia="Times New Roman" w:hAnsi="Helvetica" w:cs="Arial"/>
          <w:color w:val="292929"/>
          <w:sz w:val="18"/>
          <w:szCs w:val="18"/>
          <w:lang w:eastAsia="it-IT"/>
        </w:rPr>
        <w:t xml:space="preserve">Con l'occasione, si ricorda che il Garante, in sinergia con le altre Autorità privacy europee, sta provvedendo alla definizione di linee guida e contributi per facilitare l'applicazione del nuovo quadro </w:t>
      </w:r>
      <w:proofErr w:type="spellStart"/>
      <w:r w:rsidRPr="00F724C3">
        <w:rPr>
          <w:rFonts w:ascii="Helvetica" w:eastAsia="Times New Roman" w:hAnsi="Helvetica" w:cs="Arial"/>
          <w:color w:val="292929"/>
          <w:sz w:val="18"/>
          <w:szCs w:val="18"/>
          <w:lang w:eastAsia="it-IT"/>
        </w:rPr>
        <w:t>regolatorio</w:t>
      </w:r>
      <w:proofErr w:type="spellEnd"/>
      <w:r w:rsidRPr="00F724C3">
        <w:rPr>
          <w:rFonts w:ascii="Helvetica" w:eastAsia="Times New Roman" w:hAnsi="Helvetica" w:cs="Arial"/>
          <w:color w:val="292929"/>
          <w:sz w:val="18"/>
          <w:szCs w:val="18"/>
          <w:lang w:eastAsia="it-IT"/>
        </w:rPr>
        <w:t xml:space="preserve"> e delle importanti novità introdotte. Approfondimenti, informazioni e tutti i materiali utili saranno progressivamente pubblicati nell'apposita sezione informativa del sito web del Garante. (</w:t>
      </w:r>
      <w:hyperlink r:id="rId10" w:history="1">
        <w:r w:rsidRPr="00F724C3">
          <w:rPr>
            <w:rFonts w:ascii="Helvetica" w:eastAsia="Times New Roman" w:hAnsi="Helvetica" w:cs="Arial"/>
            <w:b/>
            <w:bCs/>
            <w:color w:val="1C6685"/>
            <w:sz w:val="18"/>
            <w:szCs w:val="18"/>
            <w:lang w:eastAsia="it-IT"/>
          </w:rPr>
          <w:t>www.garanteprivacy.it/regolamentoue</w:t>
        </w:r>
      </w:hyperlink>
      <w:r w:rsidRPr="00F724C3">
        <w:rPr>
          <w:rFonts w:ascii="Helvetica" w:eastAsia="Times New Roman" w:hAnsi="Helvetica" w:cs="Arial"/>
          <w:color w:val="292929"/>
          <w:sz w:val="18"/>
          <w:szCs w:val="18"/>
          <w:lang w:eastAsia="it-IT"/>
        </w:rPr>
        <w:t xml:space="preserve">), che contiene anche una utile </w:t>
      </w:r>
      <w:hyperlink r:id="rId11" w:history="1">
        <w:r w:rsidRPr="00F724C3">
          <w:rPr>
            <w:rFonts w:ascii="Helvetica" w:eastAsia="Times New Roman" w:hAnsi="Helvetica" w:cs="Arial"/>
            <w:b/>
            <w:bCs/>
            <w:color w:val="1C6685"/>
            <w:sz w:val="18"/>
            <w:szCs w:val="18"/>
            <w:lang w:eastAsia="it-IT"/>
          </w:rPr>
          <w:t xml:space="preserve">guida </w:t>
        </w:r>
      </w:hyperlink>
      <w:r w:rsidRPr="00F724C3">
        <w:rPr>
          <w:rFonts w:ascii="Helvetica" w:eastAsia="Times New Roman" w:hAnsi="Helvetica" w:cs="Arial"/>
          <w:color w:val="292929"/>
          <w:sz w:val="18"/>
          <w:szCs w:val="18"/>
          <w:lang w:eastAsia="it-IT"/>
        </w:rPr>
        <w:t>per l'applicazione del regolamento.</w:t>
      </w:r>
    </w:p>
    <w:p w:rsidR="00F724C3" w:rsidRPr="00F724C3" w:rsidRDefault="00F724C3" w:rsidP="00F724C3">
      <w:pPr>
        <w:spacing w:before="150" w:after="150" w:line="240" w:lineRule="auto"/>
        <w:jc w:val="both"/>
        <w:textAlignment w:val="top"/>
        <w:rPr>
          <w:rFonts w:ascii="Helvetica" w:eastAsia="Times New Roman" w:hAnsi="Helvetica" w:cs="Arial"/>
          <w:color w:val="292929"/>
          <w:sz w:val="20"/>
          <w:szCs w:val="20"/>
          <w:lang w:eastAsia="it-IT"/>
        </w:rPr>
      </w:pPr>
      <w:r w:rsidRPr="00F724C3">
        <w:rPr>
          <w:rFonts w:ascii="Helvetica" w:eastAsia="Times New Roman" w:hAnsi="Helvetica" w:cs="Arial"/>
          <w:i/>
          <w:iCs/>
          <w:color w:val="292929"/>
          <w:sz w:val="18"/>
          <w:lang w:eastAsia="it-IT"/>
        </w:rPr>
        <w:t>Roma,19 ottobre 2017</w:t>
      </w:r>
    </w:p>
    <w:p w:rsidR="00F724C3" w:rsidRPr="00F724C3" w:rsidRDefault="00F724C3" w:rsidP="00F724C3">
      <w:pPr>
        <w:spacing w:before="150" w:after="150" w:line="240" w:lineRule="auto"/>
        <w:jc w:val="both"/>
        <w:textAlignment w:val="top"/>
        <w:rPr>
          <w:rFonts w:ascii="Helvetica" w:eastAsia="Times New Roman" w:hAnsi="Helvetica" w:cs="Arial"/>
          <w:color w:val="292929"/>
          <w:sz w:val="20"/>
          <w:szCs w:val="20"/>
          <w:lang w:eastAsia="it-IT"/>
        </w:rPr>
      </w:pPr>
      <w:r w:rsidRPr="00F724C3">
        <w:rPr>
          <w:rFonts w:ascii="Helvetica" w:eastAsia="Times New Roman" w:hAnsi="Helvetica" w:cs="Arial"/>
          <w:color w:val="292929"/>
          <w:sz w:val="20"/>
          <w:szCs w:val="20"/>
          <w:lang w:eastAsia="it-IT"/>
        </w:rPr>
        <w:t> </w:t>
      </w:r>
    </w:p>
    <w:p w:rsidR="00F724C3" w:rsidRPr="00F724C3" w:rsidRDefault="00F724C3" w:rsidP="00F724C3">
      <w:pPr>
        <w:spacing w:before="150" w:line="240" w:lineRule="auto"/>
        <w:jc w:val="both"/>
        <w:textAlignment w:val="top"/>
        <w:rPr>
          <w:rFonts w:ascii="Helvetica" w:eastAsia="Times New Roman" w:hAnsi="Helvetica" w:cs="Arial"/>
          <w:color w:val="292929"/>
          <w:sz w:val="20"/>
          <w:szCs w:val="20"/>
          <w:lang w:eastAsia="it-IT"/>
        </w:rPr>
      </w:pPr>
      <w:r>
        <w:rPr>
          <w:rFonts w:ascii="Helvetica" w:eastAsia="Times New Roman" w:hAnsi="Helvetica" w:cs="Arial"/>
          <w:i/>
          <w:iCs/>
          <w:noProof/>
          <w:color w:val="1C6685"/>
          <w:sz w:val="18"/>
          <w:szCs w:val="18"/>
          <w:lang w:eastAsia="it-IT"/>
        </w:rPr>
        <w:lastRenderedPageBreak/>
        <w:drawing>
          <wp:inline distT="0" distB="0" distL="0" distR="0">
            <wp:extent cx="6810375" cy="9839325"/>
            <wp:effectExtent l="19050" t="0" r="9525" b="0"/>
            <wp:docPr id="1" name="Immagine 1" descr="http://www.garanteprivacy.it/image/image_gallery?uuid=84c00d9d-c08c-45c0-83cd-2b4ca372188f&amp;groupId=10160&amp;t=150842145191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aranteprivacy.it/image/image_gallery?uuid=84c00d9d-c08c-45c0-83cd-2b4ca372188f&amp;groupId=10160&amp;t=1508421451914"/>
                    <pic:cNvPicPr>
                      <a:picLocks noChangeAspect="1" noChangeArrowheads="1"/>
                    </pic:cNvPicPr>
                  </pic:nvPicPr>
                  <pic:blipFill>
                    <a:blip r:embed="rId13" cstate="print"/>
                    <a:srcRect/>
                    <a:stretch>
                      <a:fillRect/>
                    </a:stretch>
                  </pic:blipFill>
                  <pic:spPr bwMode="auto">
                    <a:xfrm>
                      <a:off x="0" y="0"/>
                      <a:ext cx="6810375" cy="9839325"/>
                    </a:xfrm>
                    <a:prstGeom prst="rect">
                      <a:avLst/>
                    </a:prstGeom>
                    <a:noFill/>
                    <a:ln w="9525">
                      <a:noFill/>
                      <a:miter lim="800000"/>
                      <a:headEnd/>
                      <a:tailEnd/>
                    </a:ln>
                  </pic:spPr>
                </pic:pic>
              </a:graphicData>
            </a:graphic>
          </wp:inline>
        </w:drawing>
      </w:r>
    </w:p>
    <w:p w:rsidR="00B2657D" w:rsidRDefault="00B2657D"/>
    <w:sectPr w:rsidR="00B2657D" w:rsidSect="00B2657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724C3"/>
    <w:rsid w:val="0039089D"/>
    <w:rsid w:val="008F44A8"/>
    <w:rsid w:val="00B2657D"/>
    <w:rsid w:val="00F223AD"/>
    <w:rsid w:val="00F724C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657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F724C3"/>
    <w:rPr>
      <w:b w:val="0"/>
      <w:bCs w:val="0"/>
      <w:i/>
      <w:iCs/>
    </w:rPr>
  </w:style>
  <w:style w:type="character" w:styleId="Enfasigrassetto">
    <w:name w:val="Strong"/>
    <w:basedOn w:val="Carpredefinitoparagrafo"/>
    <w:uiPriority w:val="22"/>
    <w:qFormat/>
    <w:rsid w:val="00F724C3"/>
    <w:rPr>
      <w:b/>
      <w:bCs/>
      <w:i w:val="0"/>
      <w:iCs w:val="0"/>
    </w:rPr>
  </w:style>
  <w:style w:type="paragraph" w:styleId="Testofumetto">
    <w:name w:val="Balloon Text"/>
    <w:basedOn w:val="Normale"/>
    <w:link w:val="TestofumettoCarattere"/>
    <w:uiPriority w:val="99"/>
    <w:semiHidden/>
    <w:unhideWhenUsed/>
    <w:rsid w:val="00F724C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24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4597469">
      <w:bodyDiv w:val="1"/>
      <w:marLeft w:val="0"/>
      <w:marRight w:val="0"/>
      <w:marTop w:val="0"/>
      <w:marBottom w:val="0"/>
      <w:divBdr>
        <w:top w:val="none" w:sz="0" w:space="0" w:color="auto"/>
        <w:left w:val="none" w:sz="0" w:space="0" w:color="auto"/>
        <w:bottom w:val="none" w:sz="0" w:space="0" w:color="auto"/>
        <w:right w:val="none" w:sz="0" w:space="0" w:color="auto"/>
      </w:divBdr>
      <w:divsChild>
        <w:div w:id="38172658">
          <w:marLeft w:val="0"/>
          <w:marRight w:val="0"/>
          <w:marTop w:val="0"/>
          <w:marBottom w:val="0"/>
          <w:divBdr>
            <w:top w:val="none" w:sz="0" w:space="0" w:color="auto"/>
            <w:left w:val="none" w:sz="0" w:space="0" w:color="auto"/>
            <w:bottom w:val="none" w:sz="0" w:space="0" w:color="auto"/>
            <w:right w:val="none" w:sz="0" w:space="0" w:color="auto"/>
          </w:divBdr>
          <w:divsChild>
            <w:div w:id="989401459">
              <w:marLeft w:val="0"/>
              <w:marRight w:val="0"/>
              <w:marTop w:val="0"/>
              <w:marBottom w:val="0"/>
              <w:divBdr>
                <w:top w:val="none" w:sz="0" w:space="0" w:color="auto"/>
                <w:left w:val="none" w:sz="0" w:space="0" w:color="auto"/>
                <w:bottom w:val="none" w:sz="0" w:space="0" w:color="auto"/>
                <w:right w:val="none" w:sz="0" w:space="0" w:color="auto"/>
              </w:divBdr>
              <w:divsChild>
                <w:div w:id="413169437">
                  <w:marLeft w:val="0"/>
                  <w:marRight w:val="0"/>
                  <w:marTop w:val="0"/>
                  <w:marBottom w:val="0"/>
                  <w:divBdr>
                    <w:top w:val="none" w:sz="0" w:space="0" w:color="auto"/>
                    <w:left w:val="none" w:sz="0" w:space="0" w:color="auto"/>
                    <w:bottom w:val="none" w:sz="0" w:space="0" w:color="auto"/>
                    <w:right w:val="none" w:sz="0" w:space="0" w:color="auto"/>
                  </w:divBdr>
                  <w:divsChild>
                    <w:div w:id="494027664">
                      <w:marLeft w:val="0"/>
                      <w:marRight w:val="0"/>
                      <w:marTop w:val="0"/>
                      <w:marBottom w:val="0"/>
                      <w:divBdr>
                        <w:top w:val="none" w:sz="0" w:space="0" w:color="auto"/>
                        <w:left w:val="none" w:sz="0" w:space="0" w:color="auto"/>
                        <w:bottom w:val="none" w:sz="0" w:space="0" w:color="auto"/>
                        <w:right w:val="none" w:sz="0" w:space="0" w:color="auto"/>
                      </w:divBdr>
                      <w:divsChild>
                        <w:div w:id="900821945">
                          <w:marLeft w:val="0"/>
                          <w:marRight w:val="0"/>
                          <w:marTop w:val="0"/>
                          <w:marBottom w:val="0"/>
                          <w:divBdr>
                            <w:top w:val="none" w:sz="0" w:space="0" w:color="auto"/>
                            <w:left w:val="none" w:sz="0" w:space="0" w:color="auto"/>
                            <w:bottom w:val="none" w:sz="0" w:space="0" w:color="auto"/>
                            <w:right w:val="none" w:sz="0" w:space="0" w:color="auto"/>
                          </w:divBdr>
                          <w:divsChild>
                            <w:div w:id="1730032108">
                              <w:marLeft w:val="0"/>
                              <w:marRight w:val="0"/>
                              <w:marTop w:val="0"/>
                              <w:marBottom w:val="0"/>
                              <w:divBdr>
                                <w:top w:val="none" w:sz="0" w:space="0" w:color="auto"/>
                                <w:left w:val="none" w:sz="0" w:space="0" w:color="auto"/>
                                <w:bottom w:val="none" w:sz="0" w:space="0" w:color="auto"/>
                                <w:right w:val="none" w:sz="0" w:space="0" w:color="auto"/>
                              </w:divBdr>
                              <w:divsChild>
                                <w:div w:id="600340077">
                                  <w:marLeft w:val="0"/>
                                  <w:marRight w:val="0"/>
                                  <w:marTop w:val="0"/>
                                  <w:marBottom w:val="0"/>
                                  <w:divBdr>
                                    <w:top w:val="none" w:sz="0" w:space="0" w:color="auto"/>
                                    <w:left w:val="none" w:sz="0" w:space="0" w:color="auto"/>
                                    <w:bottom w:val="none" w:sz="0" w:space="0" w:color="auto"/>
                                    <w:right w:val="none" w:sz="0" w:space="0" w:color="auto"/>
                                  </w:divBdr>
                                  <w:divsChild>
                                    <w:div w:id="418253162">
                                      <w:marLeft w:val="0"/>
                                      <w:marRight w:val="0"/>
                                      <w:marTop w:val="0"/>
                                      <w:marBottom w:val="0"/>
                                      <w:divBdr>
                                        <w:top w:val="none" w:sz="0" w:space="0" w:color="auto"/>
                                        <w:left w:val="none" w:sz="0" w:space="0" w:color="auto"/>
                                        <w:bottom w:val="none" w:sz="0" w:space="0" w:color="auto"/>
                                        <w:right w:val="none" w:sz="0" w:space="0" w:color="auto"/>
                                      </w:divBdr>
                                      <w:divsChild>
                                        <w:div w:id="399593632">
                                          <w:marLeft w:val="0"/>
                                          <w:marRight w:val="0"/>
                                          <w:marTop w:val="0"/>
                                          <w:marBottom w:val="0"/>
                                          <w:divBdr>
                                            <w:top w:val="none" w:sz="0" w:space="0" w:color="auto"/>
                                            <w:left w:val="none" w:sz="0" w:space="0" w:color="auto"/>
                                            <w:bottom w:val="none" w:sz="0" w:space="0" w:color="auto"/>
                                            <w:right w:val="none" w:sz="0" w:space="0" w:color="auto"/>
                                          </w:divBdr>
                                          <w:divsChild>
                                            <w:div w:id="589043461">
                                              <w:marLeft w:val="45"/>
                                              <w:marRight w:val="45"/>
                                              <w:marTop w:val="150"/>
                                              <w:marBottom w:val="150"/>
                                              <w:divBdr>
                                                <w:top w:val="single" w:sz="6" w:space="0" w:color="EAEAEA"/>
                                                <w:left w:val="single" w:sz="6" w:space="0" w:color="EAEAEA"/>
                                                <w:bottom w:val="single" w:sz="6" w:space="0" w:color="EAEAEA"/>
                                                <w:right w:val="single" w:sz="6" w:space="8" w:color="EAEAEA"/>
                                              </w:divBdr>
                                              <w:divsChild>
                                                <w:div w:id="1596283618">
                                                  <w:marLeft w:val="0"/>
                                                  <w:marRight w:val="0"/>
                                                  <w:marTop w:val="0"/>
                                                  <w:marBottom w:val="300"/>
                                                  <w:divBdr>
                                                    <w:top w:val="none" w:sz="0" w:space="0" w:color="auto"/>
                                                    <w:left w:val="single" w:sz="6" w:space="8" w:color="EAEAEA"/>
                                                    <w:bottom w:val="none" w:sz="0" w:space="0" w:color="auto"/>
                                                    <w:right w:val="none" w:sz="0" w:space="0" w:color="auto"/>
                                                  </w:divBdr>
                                                  <w:divsChild>
                                                    <w:div w:id="479544774">
                                                      <w:marLeft w:val="0"/>
                                                      <w:marRight w:val="0"/>
                                                      <w:marTop w:val="0"/>
                                                      <w:marBottom w:val="0"/>
                                                      <w:divBdr>
                                                        <w:top w:val="none" w:sz="0" w:space="0" w:color="auto"/>
                                                        <w:left w:val="none" w:sz="0" w:space="0" w:color="auto"/>
                                                        <w:bottom w:val="none" w:sz="0" w:space="0" w:color="auto"/>
                                                        <w:right w:val="none" w:sz="0" w:space="0" w:color="auto"/>
                                                      </w:divBdr>
                                                      <w:divsChild>
                                                        <w:div w:id="14481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garante/doc.jsp?ID=6498465" TargetMode="External"/><Relationship Id="rId13"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www.garanteprivacy.it/" TargetMode="External"/><Relationship Id="rId12" Type="http://schemas.openxmlformats.org/officeDocument/2006/relationships/hyperlink" Target="http://www.garanteprivacy.it/garante/document?ID=699909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contripa@gpdp.it" TargetMode="External"/><Relationship Id="rId11" Type="http://schemas.openxmlformats.org/officeDocument/2006/relationships/hyperlink" Target="http://www.garanteprivacy.it/guida-all-applicazione-del-regolamento-europeo-in-materia-di-protezione-dei-dati-personali" TargetMode="External"/><Relationship Id="rId5" Type="http://schemas.openxmlformats.org/officeDocument/2006/relationships/hyperlink" Target="http://www.garanteprivacy.it/garante/doc.jsp?ID=6487400" TargetMode="External"/><Relationship Id="rId15" Type="http://schemas.openxmlformats.org/officeDocument/2006/relationships/theme" Target="theme/theme1.xml"/><Relationship Id="rId10" Type="http://schemas.openxmlformats.org/officeDocument/2006/relationships/hyperlink" Target="http://www.garanteprivacy.it/regolamentoue" TargetMode="External"/><Relationship Id="rId4" Type="http://schemas.openxmlformats.org/officeDocument/2006/relationships/hyperlink" Target="http://backoffice.garanteprivacy.it/regolamentoue" TargetMode="External"/><Relationship Id="rId9" Type="http://schemas.openxmlformats.org/officeDocument/2006/relationships/hyperlink" Target="http://www.garanteprivacy.it/community"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GiovanniT</dc:creator>
  <cp:lastModifiedBy>GiovanniT</cp:lastModifiedBy>
  <cp:revision>2</cp:revision>
  <dcterms:created xsi:type="dcterms:W3CDTF">2017-10-19T15:39:00Z</dcterms:created>
  <dcterms:modified xsi:type="dcterms:W3CDTF">2017-10-19T15:39:00Z</dcterms:modified>
</cp:coreProperties>
</file>