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5B4EEE">
        <w:rPr>
          <w:sz w:val="20"/>
          <w:szCs w:val="20"/>
        </w:rPr>
      </w:r>
      <w:r w:rsidR="005B4EE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5B4EEE">
        <w:rPr>
          <w:sz w:val="20"/>
          <w:szCs w:val="20"/>
        </w:rPr>
      </w:r>
      <w:r w:rsidR="005B4EE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5B4EEE">
        <w:rPr>
          <w:sz w:val="20"/>
          <w:szCs w:val="20"/>
        </w:rPr>
      </w:r>
      <w:r w:rsidR="005B4EE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5B4EEE">
        <w:rPr>
          <w:sz w:val="20"/>
          <w:szCs w:val="20"/>
        </w:rPr>
      </w:r>
      <w:r w:rsidR="005B4EE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5B4EEE">
        <w:rPr>
          <w:sz w:val="20"/>
          <w:szCs w:val="20"/>
        </w:rPr>
      </w:r>
      <w:r w:rsidR="005B4EE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5B4EEE">
        <w:rPr>
          <w:sz w:val="20"/>
          <w:szCs w:val="20"/>
        </w:rPr>
      </w:r>
      <w:r w:rsidR="005B4EE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5B4EEE">
        <w:rPr>
          <w:sz w:val="20"/>
          <w:szCs w:val="20"/>
        </w:rPr>
      </w:r>
      <w:r w:rsidR="005B4EE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5B4EEE">
        <w:rPr>
          <w:sz w:val="20"/>
          <w:szCs w:val="20"/>
        </w:rPr>
      </w:r>
      <w:r w:rsidR="005B4EE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5B4EEE">
        <w:rPr>
          <w:sz w:val="20"/>
          <w:szCs w:val="20"/>
        </w:rPr>
      </w:r>
      <w:r w:rsidR="005B4EE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5B4EEE">
        <w:rPr>
          <w:sz w:val="20"/>
          <w:szCs w:val="20"/>
        </w:rPr>
      </w:r>
      <w:r w:rsidR="005B4EEE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5B4EEE" w:rsidRDefault="005B4EEE" w:rsidP="004A288E">
      <w:pPr>
        <w:jc w:val="both"/>
        <w:rPr>
          <w:b/>
          <w:sz w:val="20"/>
          <w:szCs w:val="20"/>
          <w:u w:val="single"/>
        </w:rPr>
      </w:pPr>
    </w:p>
    <w:p w:rsidR="005B4EEE" w:rsidRDefault="005B4EEE" w:rsidP="004A288E">
      <w:pPr>
        <w:jc w:val="both"/>
        <w:rPr>
          <w:b/>
          <w:sz w:val="20"/>
          <w:szCs w:val="20"/>
          <w:u w:val="single"/>
        </w:rPr>
      </w:pPr>
    </w:p>
    <w:p w:rsidR="005B4EEE" w:rsidRDefault="005B4EEE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5B4EEE">
        <w:rPr>
          <w:b/>
          <w:sz w:val="20"/>
          <w:szCs w:val="20"/>
        </w:rPr>
      </w:r>
      <w:r w:rsidR="005B4EEE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5B4EEE">
        <w:rPr>
          <w:b/>
          <w:sz w:val="20"/>
          <w:szCs w:val="20"/>
        </w:rPr>
      </w:r>
      <w:r w:rsidR="005B4EEE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5B4EEE">
        <w:rPr>
          <w:b/>
          <w:sz w:val="20"/>
          <w:szCs w:val="20"/>
        </w:rPr>
      </w:r>
      <w:r w:rsidR="005B4EEE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5B4EEE">
        <w:rPr>
          <w:b/>
          <w:sz w:val="20"/>
          <w:szCs w:val="20"/>
        </w:rPr>
      </w:r>
      <w:r w:rsidR="005B4EEE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5B4EEE">
        <w:rPr>
          <w:b/>
          <w:sz w:val="20"/>
          <w:szCs w:val="20"/>
        </w:rPr>
      </w:r>
      <w:r w:rsidR="005B4EEE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5B4EEE">
        <w:rPr>
          <w:b/>
          <w:sz w:val="20"/>
          <w:szCs w:val="20"/>
        </w:rPr>
      </w:r>
      <w:r w:rsidR="005B4EEE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650759"/>
      <w:docPartObj>
        <w:docPartGallery w:val="Page Numbers (Bottom of Page)"/>
        <w:docPartUnique/>
      </w:docPartObj>
    </w:sdtPr>
    <w:sdtContent>
      <w:p w:rsidR="005B4EEE" w:rsidRDefault="005B4E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B4EEE" w:rsidRDefault="005B4E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4EEE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BCAA-364C-4D9D-AFE8-D292609C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2018-03-27T07:24:00Z</dcterms:modified>
</cp:coreProperties>
</file>