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  <w:highlight w:val="yellow"/>
              </w:rPr>
            </w:r>
            <w:r w:rsidR="007977D3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7977D3">
              <w:rPr>
                <w:b/>
                <w:sz w:val="20"/>
                <w:szCs w:val="20"/>
              </w:rPr>
            </w:r>
            <w:r w:rsidR="007977D3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7977D3">
              <w:rPr>
                <w:sz w:val="20"/>
                <w:szCs w:val="20"/>
              </w:rPr>
            </w:r>
            <w:r w:rsidR="007977D3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7977D3">
        <w:rPr>
          <w:sz w:val="20"/>
          <w:szCs w:val="20"/>
        </w:rPr>
      </w:r>
      <w:r w:rsidR="007977D3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7977D3">
        <w:rPr>
          <w:b/>
          <w:sz w:val="20"/>
          <w:szCs w:val="20"/>
        </w:rPr>
      </w:r>
      <w:r w:rsidR="007977D3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102905"/>
      <w:docPartObj>
        <w:docPartGallery w:val="Page Numbers (Bottom of Page)"/>
        <w:docPartUnique/>
      </w:docPartObj>
    </w:sdtPr>
    <w:sdtContent>
      <w:p w:rsidR="007977D3" w:rsidRDefault="007977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77D3" w:rsidRDefault="00797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977D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C7B3-597D-4706-9620-BF044E88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2018-03-27T07:17:00Z</dcterms:modified>
</cp:coreProperties>
</file>