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12AEA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F2C59" w:rsidRDefault="00AF2C59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>, vi sono stati indirizzi specifici del Ministero relativi all’attenzione per le pari opportunità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Tematiche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Regolamentazione</w:t>
            </w:r>
            <w:proofErr w:type="gramEnd"/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7D92">
              <w:rPr>
                <w:sz w:val="20"/>
                <w:szCs w:val="20"/>
              </w:rPr>
            </w:r>
            <w:r w:rsidR="00367D92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7D92">
              <w:rPr>
                <w:sz w:val="20"/>
                <w:szCs w:val="20"/>
              </w:rPr>
            </w:r>
            <w:r w:rsidR="00367D92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7D92">
              <w:rPr>
                <w:sz w:val="20"/>
                <w:szCs w:val="20"/>
              </w:rPr>
            </w:r>
            <w:r w:rsidR="00367D92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7D92">
              <w:rPr>
                <w:sz w:val="20"/>
                <w:szCs w:val="20"/>
              </w:rPr>
            </w:r>
            <w:r w:rsidR="00367D92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7D92">
              <w:rPr>
                <w:sz w:val="20"/>
                <w:szCs w:val="20"/>
              </w:rPr>
            </w:r>
            <w:r w:rsidR="00367D92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Istruzione </w:t>
            </w:r>
            <w:proofErr w:type="gramStart"/>
            <w:r w:rsidRPr="00B12AEA">
              <w:rPr>
                <w:b/>
                <w:sz w:val="20"/>
                <w:szCs w:val="20"/>
              </w:rPr>
              <w:t>nel settore scientifico-tecnico e matematici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7D92">
              <w:rPr>
                <w:sz w:val="20"/>
                <w:szCs w:val="20"/>
              </w:rPr>
            </w:r>
            <w:r w:rsidR="00367D92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7D92">
              <w:rPr>
                <w:sz w:val="20"/>
                <w:szCs w:val="20"/>
              </w:rPr>
            </w:r>
            <w:r w:rsidR="00367D92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7D92">
              <w:rPr>
                <w:sz w:val="20"/>
                <w:szCs w:val="20"/>
                <w:highlight w:val="yellow"/>
              </w:rPr>
            </w:r>
            <w:r w:rsidR="00367D92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367D92">
              <w:rPr>
                <w:b/>
                <w:sz w:val="20"/>
                <w:szCs w:val="20"/>
              </w:rPr>
            </w:r>
            <w:r w:rsidR="00367D92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 xml:space="preserve">PARTE B – Azioni intraprese per ridurre le diseguaglianze di </w:t>
      </w:r>
      <w:proofErr w:type="gramStart"/>
      <w:r w:rsidRPr="00B12AEA">
        <w:rPr>
          <w:b/>
          <w:sz w:val="20"/>
          <w:szCs w:val="20"/>
          <w:u w:val="single"/>
        </w:rPr>
        <w:t>genere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proofErr w:type="gramStart"/>
      <w:r w:rsidRPr="00B12AEA">
        <w:rPr>
          <w:b/>
          <w:sz w:val="20"/>
          <w:szCs w:val="20"/>
        </w:rPr>
        <w:t>II.B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B.1 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7D92">
              <w:rPr>
                <w:sz w:val="20"/>
                <w:szCs w:val="20"/>
              </w:rPr>
            </w:r>
            <w:r w:rsidR="00367D92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7D92">
              <w:rPr>
                <w:sz w:val="20"/>
                <w:szCs w:val="20"/>
              </w:rPr>
            </w:r>
            <w:r w:rsidR="00367D92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7D92">
        <w:rPr>
          <w:sz w:val="20"/>
          <w:szCs w:val="20"/>
        </w:rPr>
      </w:r>
      <w:r w:rsidR="00367D92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7D92">
        <w:rPr>
          <w:sz w:val="20"/>
          <w:szCs w:val="20"/>
        </w:rPr>
      </w:r>
      <w:r w:rsidR="00367D92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7D92">
        <w:rPr>
          <w:sz w:val="20"/>
          <w:szCs w:val="20"/>
        </w:rPr>
      </w:r>
      <w:r w:rsidR="00367D92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7D92">
        <w:rPr>
          <w:sz w:val="20"/>
          <w:szCs w:val="20"/>
        </w:rPr>
      </w:r>
      <w:r w:rsidR="00367D92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7D92">
        <w:rPr>
          <w:sz w:val="20"/>
          <w:szCs w:val="20"/>
        </w:rPr>
      </w:r>
      <w:r w:rsidR="00367D92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7D92">
        <w:rPr>
          <w:sz w:val="20"/>
          <w:szCs w:val="20"/>
        </w:rPr>
      </w:r>
      <w:r w:rsidR="00367D92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B.2/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7D92">
              <w:rPr>
                <w:sz w:val="20"/>
                <w:szCs w:val="20"/>
              </w:rPr>
            </w:r>
            <w:r w:rsidR="00367D92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7D92">
              <w:rPr>
                <w:sz w:val="20"/>
                <w:szCs w:val="20"/>
              </w:rPr>
            </w:r>
            <w:r w:rsidR="00367D92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7D92">
        <w:rPr>
          <w:sz w:val="20"/>
          <w:szCs w:val="20"/>
        </w:rPr>
      </w:r>
      <w:r w:rsidR="00367D92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7D92">
        <w:rPr>
          <w:sz w:val="20"/>
          <w:szCs w:val="20"/>
        </w:rPr>
      </w:r>
      <w:r w:rsidR="00367D92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7D92">
        <w:rPr>
          <w:sz w:val="20"/>
          <w:szCs w:val="20"/>
        </w:rPr>
      </w:r>
      <w:r w:rsidR="00367D92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7D92">
        <w:rPr>
          <w:sz w:val="20"/>
          <w:szCs w:val="20"/>
        </w:rPr>
      </w:r>
      <w:r w:rsidR="00367D92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7D92">
        <w:rPr>
          <w:sz w:val="20"/>
          <w:szCs w:val="20"/>
        </w:rPr>
      </w:r>
      <w:r w:rsidR="00367D92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7D92">
        <w:rPr>
          <w:sz w:val="20"/>
          <w:szCs w:val="20"/>
        </w:rPr>
      </w:r>
      <w:r w:rsidR="00367D92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lastRenderedPageBreak/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 xml:space="preserve">PARTE C – Interventi sensibili al genere, ossia che hanno un diverso impatto su uomini e </w:t>
      </w:r>
      <w:proofErr w:type="gramStart"/>
      <w:r w:rsidRPr="00B12AEA">
        <w:rPr>
          <w:b/>
          <w:sz w:val="20"/>
          <w:szCs w:val="20"/>
          <w:u w:val="single"/>
        </w:rPr>
        <w:t>donne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II.C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C.1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C.2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7D92">
        <w:rPr>
          <w:b/>
          <w:sz w:val="20"/>
          <w:szCs w:val="20"/>
        </w:rPr>
      </w:r>
      <w:r w:rsidR="00367D92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802054"/>
      <w:docPartObj>
        <w:docPartGallery w:val="Page Numbers (Bottom of Page)"/>
        <w:docPartUnique/>
      </w:docPartObj>
    </w:sdtPr>
    <w:sdtContent>
      <w:p w:rsidR="00367D92" w:rsidRDefault="00367D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67D92" w:rsidRDefault="00367D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77B7"/>
    <w:rsid w:val="00367D92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85CA-54B7-48FB-AC30-67B48BC8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2018-03-27T07:14:00Z</dcterms:modified>
</cp:coreProperties>
</file>