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A4" w:rsidRDefault="00F959A4" w:rsidP="00F959A4">
      <w:pPr>
        <w:spacing w:before="330" w:after="165" w:line="240" w:lineRule="auto"/>
        <w:jc w:val="center"/>
        <w:outlineLvl w:val="0"/>
        <w:rPr>
          <w:rFonts w:ascii="inherit" w:eastAsia="Times New Roman" w:hAnsi="inherit" w:cs="Arial"/>
          <w:b/>
          <w:bCs/>
          <w:color w:val="49535D"/>
          <w:kern w:val="36"/>
          <w:sz w:val="29"/>
          <w:szCs w:val="29"/>
          <w:lang w:eastAsia="it-IT"/>
        </w:rPr>
      </w:pPr>
      <w:r>
        <w:rPr>
          <w:rFonts w:ascii="inherit" w:eastAsia="Times New Roman" w:hAnsi="inherit" w:cs="Arial"/>
          <w:b/>
          <w:bCs/>
          <w:color w:val="49535D"/>
          <w:kern w:val="36"/>
          <w:sz w:val="29"/>
          <w:szCs w:val="29"/>
          <w:lang w:eastAsia="it-IT"/>
        </w:rPr>
        <w:t>INPS</w:t>
      </w:r>
    </w:p>
    <w:p w:rsidR="00F959A4" w:rsidRPr="00AF7040" w:rsidRDefault="00F959A4" w:rsidP="00F959A4">
      <w:pPr>
        <w:rPr>
          <w:b/>
          <w:kern w:val="36"/>
          <w:lang w:eastAsia="it-IT"/>
        </w:rPr>
      </w:pPr>
      <w:r w:rsidRPr="00AF7040">
        <w:rPr>
          <w:b/>
          <w:kern w:val="36"/>
          <w:lang w:eastAsia="it-IT"/>
        </w:rPr>
        <w:t>Polo unico</w:t>
      </w:r>
      <w:r>
        <w:rPr>
          <w:b/>
          <w:kern w:val="36"/>
          <w:lang w:eastAsia="it-IT"/>
        </w:rPr>
        <w:t xml:space="preserve"> </w:t>
      </w:r>
      <w:r w:rsidRPr="00AF7040">
        <w:rPr>
          <w:b/>
          <w:kern w:val="36"/>
          <w:lang w:eastAsia="it-IT"/>
        </w:rPr>
        <w:t xml:space="preserve">: abilitazione al servizio per le PA e moduli di richiesta </w:t>
      </w:r>
    </w:p>
    <w:p w:rsidR="00F959A4" w:rsidRPr="00AF7040" w:rsidRDefault="00F959A4" w:rsidP="00F959A4">
      <w:pPr>
        <w:spacing w:after="0" w:line="240" w:lineRule="auto"/>
        <w:rPr>
          <w:rFonts w:ascii="Titillium Web" w:eastAsia="Times New Roman" w:hAnsi="Titillium Web" w:cs="Arial"/>
          <w:color w:val="49535D"/>
          <w:sz w:val="24"/>
          <w:szCs w:val="24"/>
          <w:lang w:eastAsia="it-IT"/>
        </w:rPr>
      </w:pPr>
      <w:r w:rsidRPr="00AF7040">
        <w:rPr>
          <w:rFonts w:ascii="Titillium Web" w:eastAsia="Times New Roman" w:hAnsi="Titillium Web" w:cs="Arial"/>
          <w:color w:val="49535D"/>
          <w:sz w:val="24"/>
          <w:szCs w:val="24"/>
          <w:lang w:eastAsia="it-IT"/>
        </w:rPr>
        <w:t xml:space="preserve">27 settembre 2017 </w:t>
      </w:r>
    </w:p>
    <w:p w:rsidR="00F959A4" w:rsidRPr="00AF7040" w:rsidRDefault="00F959A4" w:rsidP="00F959A4">
      <w:pPr>
        <w:spacing w:after="165" w:line="240" w:lineRule="auto"/>
        <w:rPr>
          <w:rFonts w:ascii="Titillium Web" w:eastAsia="Times New Roman" w:hAnsi="Titillium Web" w:cs="Arial"/>
          <w:color w:val="49535D"/>
          <w:sz w:val="24"/>
          <w:szCs w:val="24"/>
          <w:lang w:eastAsia="it-IT"/>
        </w:rPr>
      </w:pPr>
      <w:r w:rsidRPr="00AF7040">
        <w:rPr>
          <w:rFonts w:ascii="Titillium Web" w:eastAsia="Times New Roman" w:hAnsi="Titillium Web" w:cs="Arial"/>
          <w:color w:val="49535D"/>
          <w:sz w:val="24"/>
          <w:szCs w:val="24"/>
          <w:lang w:eastAsia="it-IT"/>
        </w:rPr>
        <w:t>Dal </w:t>
      </w:r>
      <w:r w:rsidRPr="00AF7040">
        <w:rPr>
          <w:rFonts w:ascii="Titillium Web" w:eastAsia="Times New Roman" w:hAnsi="Titillium Web" w:cs="Arial"/>
          <w:b/>
          <w:bCs/>
          <w:color w:val="49535D"/>
          <w:sz w:val="24"/>
          <w:szCs w:val="24"/>
          <w:lang w:eastAsia="it-IT"/>
        </w:rPr>
        <w:t>1° settembre 2017</w:t>
      </w:r>
      <w:r w:rsidRPr="00AF7040">
        <w:rPr>
          <w:rFonts w:ascii="Titillium Web" w:eastAsia="Times New Roman" w:hAnsi="Titillium Web" w:cs="Arial"/>
          <w:color w:val="49535D"/>
          <w:sz w:val="24"/>
          <w:szCs w:val="24"/>
          <w:lang w:eastAsia="it-IT"/>
        </w:rPr>
        <w:t> è entrato in vigore il </w:t>
      </w:r>
      <w:r w:rsidRPr="00AF7040">
        <w:rPr>
          <w:rFonts w:ascii="Titillium Web" w:eastAsia="Times New Roman" w:hAnsi="Titillium Web" w:cs="Arial"/>
          <w:b/>
          <w:bCs/>
          <w:color w:val="49535D"/>
          <w:sz w:val="24"/>
          <w:szCs w:val="24"/>
          <w:lang w:eastAsia="it-IT"/>
        </w:rPr>
        <w:t>Polo unico per le visite fiscali</w:t>
      </w:r>
      <w:r w:rsidRPr="00AF7040">
        <w:rPr>
          <w:rFonts w:ascii="Titillium Web" w:eastAsia="Times New Roman" w:hAnsi="Titillium Web" w:cs="Arial"/>
          <w:color w:val="49535D"/>
          <w:sz w:val="24"/>
          <w:szCs w:val="24"/>
          <w:lang w:eastAsia="it-IT"/>
        </w:rPr>
        <w:t xml:space="preserve"> che attribuisce all’INPS la competenza esclusiva per le </w:t>
      </w:r>
      <w:hyperlink r:id="rId5" w:history="1">
        <w:r w:rsidRPr="00AF7040">
          <w:rPr>
            <w:rFonts w:ascii="Titillium Web" w:eastAsia="Times New Roman" w:hAnsi="Titillium Web" w:cs="Arial"/>
            <w:color w:val="677584"/>
            <w:sz w:val="24"/>
            <w:szCs w:val="24"/>
            <w:lang w:eastAsia="it-IT"/>
          </w:rPr>
          <w:t>Visite Mediche di Controllo (VMC)</w:t>
        </w:r>
      </w:hyperlink>
      <w:r w:rsidRPr="00AF7040">
        <w:rPr>
          <w:rFonts w:ascii="Titillium Web" w:eastAsia="Times New Roman" w:hAnsi="Titillium Web" w:cs="Arial"/>
          <w:color w:val="49535D"/>
          <w:sz w:val="24"/>
          <w:szCs w:val="24"/>
          <w:lang w:eastAsia="it-IT"/>
        </w:rPr>
        <w:t xml:space="preserve"> su richiesta dei datori di lavoro (pubblici e privati) o d’ufficio.</w:t>
      </w:r>
    </w:p>
    <w:p w:rsidR="00F959A4" w:rsidRPr="00AF7040" w:rsidRDefault="00F959A4" w:rsidP="00F959A4">
      <w:pPr>
        <w:spacing w:after="165" w:line="240" w:lineRule="auto"/>
        <w:rPr>
          <w:rFonts w:ascii="Titillium Web" w:eastAsia="Times New Roman" w:hAnsi="Titillium Web" w:cs="Arial"/>
          <w:color w:val="49535D"/>
          <w:sz w:val="24"/>
          <w:szCs w:val="24"/>
          <w:lang w:eastAsia="it-IT"/>
        </w:rPr>
      </w:pPr>
      <w:r w:rsidRPr="00AF7040">
        <w:rPr>
          <w:rFonts w:ascii="Titillium Web" w:eastAsia="Times New Roman" w:hAnsi="Titillium Web" w:cs="Arial"/>
          <w:color w:val="49535D"/>
          <w:sz w:val="24"/>
          <w:szCs w:val="24"/>
          <w:lang w:eastAsia="it-IT"/>
        </w:rPr>
        <w:t xml:space="preserve">La </w:t>
      </w:r>
      <w:hyperlink r:id="rId6" w:history="1">
        <w:r w:rsidRPr="00AF7040">
          <w:rPr>
            <w:rFonts w:ascii="Titillium Web" w:eastAsia="Times New Roman" w:hAnsi="Titillium Web" w:cs="Arial"/>
            <w:color w:val="677584"/>
            <w:sz w:val="24"/>
            <w:szCs w:val="24"/>
            <w:lang w:eastAsia="it-IT"/>
          </w:rPr>
          <w:t>circolare INPS 12 settembre 2011, n. 118</w:t>
        </w:r>
      </w:hyperlink>
      <w:r w:rsidRPr="00AF7040">
        <w:rPr>
          <w:rFonts w:ascii="Titillium Web" w:eastAsia="Times New Roman" w:hAnsi="Titillium Web" w:cs="Arial"/>
          <w:color w:val="49535D"/>
          <w:sz w:val="24"/>
          <w:szCs w:val="24"/>
          <w:lang w:eastAsia="it-IT"/>
        </w:rPr>
        <w:t xml:space="preserve"> ha disposto che, in caso di </w:t>
      </w:r>
      <w:r w:rsidRPr="00AF7040">
        <w:rPr>
          <w:rFonts w:ascii="Titillium Web" w:eastAsia="Times New Roman" w:hAnsi="Titillium Web" w:cs="Arial"/>
          <w:b/>
          <w:bCs/>
          <w:color w:val="49535D"/>
          <w:sz w:val="24"/>
          <w:szCs w:val="24"/>
          <w:lang w:eastAsia="it-IT"/>
        </w:rPr>
        <w:t>datore di lavoro pubblico</w:t>
      </w:r>
      <w:r w:rsidRPr="00AF7040">
        <w:rPr>
          <w:rFonts w:ascii="Titillium Web" w:eastAsia="Times New Roman" w:hAnsi="Titillium Web" w:cs="Arial"/>
          <w:color w:val="49535D"/>
          <w:sz w:val="24"/>
          <w:szCs w:val="24"/>
          <w:lang w:eastAsia="it-IT"/>
        </w:rPr>
        <w:t xml:space="preserve">, il </w:t>
      </w:r>
      <w:r w:rsidRPr="00AF7040">
        <w:rPr>
          <w:rFonts w:ascii="Titillium Web" w:eastAsia="Times New Roman" w:hAnsi="Titillium Web" w:cs="Arial"/>
          <w:b/>
          <w:bCs/>
          <w:color w:val="49535D"/>
          <w:sz w:val="24"/>
          <w:szCs w:val="24"/>
          <w:lang w:eastAsia="it-IT"/>
        </w:rPr>
        <w:t>modulo di richiesta</w:t>
      </w:r>
      <w:r w:rsidRPr="00AF7040">
        <w:rPr>
          <w:rFonts w:ascii="Titillium Web" w:eastAsia="Times New Roman" w:hAnsi="Titillium Web" w:cs="Arial"/>
          <w:color w:val="49535D"/>
          <w:sz w:val="24"/>
          <w:szCs w:val="24"/>
          <w:lang w:eastAsia="it-IT"/>
        </w:rPr>
        <w:t xml:space="preserve"> delle credenziali debba essere compilato e sottoscritto dal </w:t>
      </w:r>
      <w:r w:rsidRPr="00AF7040">
        <w:rPr>
          <w:rFonts w:ascii="Titillium Web" w:eastAsia="Times New Roman" w:hAnsi="Titillium Web" w:cs="Arial"/>
          <w:b/>
          <w:bCs/>
          <w:color w:val="49535D"/>
          <w:sz w:val="24"/>
          <w:szCs w:val="24"/>
          <w:lang w:eastAsia="it-IT"/>
        </w:rPr>
        <w:t>legale rappresentante dell'ente</w:t>
      </w:r>
      <w:r w:rsidRPr="00AF7040">
        <w:rPr>
          <w:rFonts w:ascii="Titillium Web" w:eastAsia="Times New Roman" w:hAnsi="Titillium Web" w:cs="Arial"/>
          <w:color w:val="49535D"/>
          <w:sz w:val="24"/>
          <w:szCs w:val="24"/>
          <w:lang w:eastAsia="it-IT"/>
        </w:rPr>
        <w:t>.</w:t>
      </w:r>
    </w:p>
    <w:p w:rsidR="00F959A4" w:rsidRPr="00AF7040" w:rsidRDefault="00F959A4" w:rsidP="00F959A4">
      <w:pPr>
        <w:spacing w:after="165" w:line="240" w:lineRule="auto"/>
        <w:rPr>
          <w:rFonts w:ascii="Titillium Web" w:eastAsia="Times New Roman" w:hAnsi="Titillium Web" w:cs="Arial"/>
          <w:color w:val="49535D"/>
          <w:sz w:val="24"/>
          <w:szCs w:val="24"/>
          <w:lang w:eastAsia="it-IT"/>
        </w:rPr>
      </w:pPr>
      <w:r w:rsidRPr="00AF7040">
        <w:rPr>
          <w:rFonts w:ascii="Titillium Web" w:eastAsia="Times New Roman" w:hAnsi="Titillium Web" w:cs="Arial"/>
          <w:color w:val="49535D"/>
          <w:sz w:val="24"/>
          <w:szCs w:val="24"/>
          <w:lang w:eastAsia="it-IT"/>
        </w:rPr>
        <w:t xml:space="preserve">Con il </w:t>
      </w:r>
      <w:hyperlink r:id="rId7" w:history="1">
        <w:r w:rsidRPr="00AF7040">
          <w:rPr>
            <w:rFonts w:ascii="Titillium Web" w:eastAsia="Times New Roman" w:hAnsi="Titillium Web" w:cs="Arial"/>
            <w:color w:val="677584"/>
            <w:sz w:val="24"/>
            <w:szCs w:val="24"/>
            <w:lang w:eastAsia="it-IT"/>
          </w:rPr>
          <w:t>messaggio 26 settembre 2017, n. 3685</w:t>
        </w:r>
      </w:hyperlink>
      <w:r w:rsidRPr="00AF7040">
        <w:rPr>
          <w:rFonts w:ascii="Titillium Web" w:eastAsia="Times New Roman" w:hAnsi="Titillium Web" w:cs="Arial"/>
          <w:color w:val="49535D"/>
          <w:sz w:val="24"/>
          <w:szCs w:val="24"/>
          <w:lang w:eastAsia="it-IT"/>
        </w:rPr>
        <w:t xml:space="preserve"> l’INPS chiarisce che per l’accreditamento delle pubbliche amministrazioni, la </w:t>
      </w:r>
      <w:r w:rsidRPr="00AF7040">
        <w:rPr>
          <w:rFonts w:ascii="Titillium Web" w:eastAsia="Times New Roman" w:hAnsi="Titillium Web" w:cs="Arial"/>
          <w:b/>
          <w:bCs/>
          <w:color w:val="49535D"/>
          <w:sz w:val="24"/>
          <w:szCs w:val="24"/>
          <w:lang w:eastAsia="it-IT"/>
        </w:rPr>
        <w:t>richiesta di abilitazione</w:t>
      </w:r>
      <w:r w:rsidRPr="00AF7040">
        <w:rPr>
          <w:rFonts w:ascii="Titillium Web" w:eastAsia="Times New Roman" w:hAnsi="Titillium Web" w:cs="Arial"/>
          <w:color w:val="49535D"/>
          <w:sz w:val="24"/>
          <w:szCs w:val="24"/>
          <w:lang w:eastAsia="it-IT"/>
        </w:rPr>
        <w:t xml:space="preserve"> in favore dei funzionari individuati può essere </w:t>
      </w:r>
      <w:r w:rsidRPr="00AF7040">
        <w:rPr>
          <w:rFonts w:ascii="Titillium Web" w:eastAsia="Times New Roman" w:hAnsi="Titillium Web" w:cs="Arial"/>
          <w:b/>
          <w:bCs/>
          <w:color w:val="49535D"/>
          <w:sz w:val="24"/>
          <w:szCs w:val="24"/>
          <w:lang w:eastAsia="it-IT"/>
        </w:rPr>
        <w:t xml:space="preserve">autorizzata </w:t>
      </w:r>
      <w:r w:rsidRPr="00AF7040">
        <w:rPr>
          <w:rFonts w:ascii="Titillium Web" w:eastAsia="Times New Roman" w:hAnsi="Titillium Web" w:cs="Arial"/>
          <w:color w:val="49535D"/>
          <w:sz w:val="24"/>
          <w:szCs w:val="24"/>
          <w:lang w:eastAsia="it-IT"/>
        </w:rPr>
        <w:t xml:space="preserve">dal </w:t>
      </w:r>
      <w:r w:rsidRPr="00AF7040">
        <w:rPr>
          <w:rFonts w:ascii="Titillium Web" w:eastAsia="Times New Roman" w:hAnsi="Titillium Web" w:cs="Arial"/>
          <w:b/>
          <w:bCs/>
          <w:color w:val="49535D"/>
          <w:sz w:val="24"/>
          <w:szCs w:val="24"/>
          <w:lang w:eastAsia="it-IT"/>
        </w:rPr>
        <w:t>legale rappresentante</w:t>
      </w:r>
      <w:r w:rsidRPr="00AF7040">
        <w:rPr>
          <w:rFonts w:ascii="Titillium Web" w:eastAsia="Times New Roman" w:hAnsi="Titillium Web" w:cs="Arial"/>
          <w:color w:val="49535D"/>
          <w:sz w:val="24"/>
          <w:szCs w:val="24"/>
          <w:lang w:eastAsia="it-IT"/>
        </w:rPr>
        <w:t xml:space="preserve"> o da un suo </w:t>
      </w:r>
      <w:r w:rsidRPr="00AF7040">
        <w:rPr>
          <w:rFonts w:ascii="Titillium Web" w:eastAsia="Times New Roman" w:hAnsi="Titillium Web" w:cs="Arial"/>
          <w:b/>
          <w:bCs/>
          <w:color w:val="49535D"/>
          <w:sz w:val="24"/>
          <w:szCs w:val="24"/>
          <w:lang w:eastAsia="it-IT"/>
        </w:rPr>
        <w:t>delegato</w:t>
      </w:r>
      <w:r w:rsidRPr="00AF7040">
        <w:rPr>
          <w:rFonts w:ascii="Titillium Web" w:eastAsia="Times New Roman" w:hAnsi="Titillium Web" w:cs="Arial"/>
          <w:color w:val="49535D"/>
          <w:sz w:val="24"/>
          <w:szCs w:val="24"/>
          <w:lang w:eastAsia="it-IT"/>
        </w:rPr>
        <w:t xml:space="preserve"> o dai </w:t>
      </w:r>
      <w:r w:rsidRPr="00AF7040">
        <w:rPr>
          <w:rFonts w:ascii="Titillium Web" w:eastAsia="Times New Roman" w:hAnsi="Titillium Web" w:cs="Arial"/>
          <w:b/>
          <w:bCs/>
          <w:color w:val="49535D"/>
          <w:sz w:val="24"/>
          <w:szCs w:val="24"/>
          <w:lang w:eastAsia="it-IT"/>
        </w:rPr>
        <w:t>soggetti</w:t>
      </w:r>
      <w:r w:rsidRPr="00AF7040">
        <w:rPr>
          <w:rFonts w:ascii="Titillium Web" w:eastAsia="Times New Roman" w:hAnsi="Titillium Web" w:cs="Arial"/>
          <w:color w:val="49535D"/>
          <w:sz w:val="24"/>
          <w:szCs w:val="24"/>
          <w:lang w:eastAsia="it-IT"/>
        </w:rPr>
        <w:t xml:space="preserve"> da questi ultimi espressamente indicati. </w:t>
      </w:r>
    </w:p>
    <w:p w:rsidR="00F959A4" w:rsidRPr="00AF7040" w:rsidRDefault="00F959A4" w:rsidP="00F959A4">
      <w:pPr>
        <w:spacing w:after="165" w:line="240" w:lineRule="auto"/>
        <w:rPr>
          <w:rFonts w:ascii="Titillium Web" w:eastAsia="Times New Roman" w:hAnsi="Titillium Web" w:cs="Arial"/>
          <w:color w:val="49535D"/>
          <w:sz w:val="24"/>
          <w:szCs w:val="24"/>
          <w:lang w:eastAsia="it-IT"/>
        </w:rPr>
      </w:pPr>
      <w:r w:rsidRPr="00AF7040">
        <w:rPr>
          <w:rFonts w:ascii="Titillium Web" w:eastAsia="Times New Roman" w:hAnsi="Titillium Web" w:cs="Arial"/>
          <w:color w:val="49535D"/>
          <w:sz w:val="24"/>
          <w:szCs w:val="24"/>
          <w:lang w:eastAsia="it-IT"/>
        </w:rPr>
        <w:t xml:space="preserve">Per semplificare le </w:t>
      </w:r>
      <w:r w:rsidRPr="00AF7040">
        <w:rPr>
          <w:rFonts w:ascii="Titillium Web" w:eastAsia="Times New Roman" w:hAnsi="Titillium Web" w:cs="Arial"/>
          <w:b/>
          <w:bCs/>
          <w:color w:val="49535D"/>
          <w:sz w:val="24"/>
          <w:szCs w:val="24"/>
          <w:lang w:eastAsia="it-IT"/>
        </w:rPr>
        <w:t>modalità di abilitazione</w:t>
      </w:r>
      <w:r w:rsidRPr="00AF7040">
        <w:rPr>
          <w:rFonts w:ascii="Titillium Web" w:eastAsia="Times New Roman" w:hAnsi="Titillium Web" w:cs="Arial"/>
          <w:color w:val="49535D"/>
          <w:sz w:val="24"/>
          <w:szCs w:val="24"/>
          <w:lang w:eastAsia="it-IT"/>
        </w:rPr>
        <w:t xml:space="preserve">, la modulistica di richiesta, da parte delle aziende private e pubbliche, è stata unificata in </w:t>
      </w:r>
      <w:r w:rsidRPr="00AF7040">
        <w:rPr>
          <w:rFonts w:ascii="Titillium Web" w:eastAsia="Times New Roman" w:hAnsi="Titillium Web" w:cs="Arial"/>
          <w:b/>
          <w:bCs/>
          <w:color w:val="49535D"/>
          <w:sz w:val="24"/>
          <w:szCs w:val="24"/>
          <w:lang w:eastAsia="it-IT"/>
        </w:rPr>
        <w:t>due nuovi moduli</w:t>
      </w:r>
      <w:r w:rsidRPr="00AF7040">
        <w:rPr>
          <w:rFonts w:ascii="Titillium Web" w:eastAsia="Times New Roman" w:hAnsi="Titillium Web" w:cs="Arial"/>
          <w:color w:val="49535D"/>
          <w:sz w:val="24"/>
          <w:szCs w:val="24"/>
          <w:lang w:eastAsia="it-IT"/>
        </w:rPr>
        <w:t>:</w:t>
      </w:r>
    </w:p>
    <w:p w:rsidR="00F959A4" w:rsidRPr="00AF7040" w:rsidRDefault="00F959A4" w:rsidP="00F959A4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tillium Web" w:eastAsia="Times New Roman" w:hAnsi="Titillium Web" w:cs="Arial"/>
          <w:color w:val="49535D"/>
          <w:sz w:val="24"/>
          <w:szCs w:val="24"/>
          <w:lang w:eastAsia="it-IT"/>
        </w:rPr>
      </w:pPr>
      <w:hyperlink r:id="rId8" w:history="1">
        <w:r w:rsidRPr="00AF7040">
          <w:rPr>
            <w:rFonts w:ascii="Titillium Web" w:eastAsia="Times New Roman" w:hAnsi="Titillium Web" w:cs="Arial"/>
            <w:color w:val="677584"/>
            <w:sz w:val="24"/>
            <w:szCs w:val="24"/>
            <w:lang w:eastAsia="it-IT"/>
          </w:rPr>
          <w:t>SC65</w:t>
        </w:r>
      </w:hyperlink>
      <w:r w:rsidRPr="00AF7040">
        <w:rPr>
          <w:rFonts w:ascii="Titillium Web" w:eastAsia="Times New Roman" w:hAnsi="Titillium Web" w:cs="Arial"/>
          <w:color w:val="49535D"/>
          <w:sz w:val="24"/>
          <w:szCs w:val="24"/>
          <w:lang w:eastAsia="it-IT"/>
        </w:rPr>
        <w:t xml:space="preserve"> per la </w:t>
      </w:r>
      <w:r w:rsidRPr="00AF7040">
        <w:rPr>
          <w:rFonts w:ascii="Titillium Web" w:eastAsia="Times New Roman" w:hAnsi="Titillium Web" w:cs="Arial"/>
          <w:b/>
          <w:bCs/>
          <w:color w:val="49535D"/>
          <w:sz w:val="24"/>
          <w:szCs w:val="24"/>
          <w:lang w:eastAsia="it-IT"/>
        </w:rPr>
        <w:t>richiesta di abilitazione del datore di lavoro</w:t>
      </w:r>
      <w:r w:rsidRPr="00AF7040">
        <w:rPr>
          <w:rFonts w:ascii="Titillium Web" w:eastAsia="Times New Roman" w:hAnsi="Titillium Web" w:cs="Arial"/>
          <w:color w:val="49535D"/>
          <w:sz w:val="24"/>
          <w:szCs w:val="24"/>
          <w:lang w:eastAsia="it-IT"/>
        </w:rPr>
        <w:t>;</w:t>
      </w:r>
    </w:p>
    <w:p w:rsidR="00F959A4" w:rsidRPr="00AF7040" w:rsidRDefault="00F959A4" w:rsidP="00F959A4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tillium Web" w:eastAsia="Times New Roman" w:hAnsi="Titillium Web" w:cs="Arial"/>
          <w:color w:val="49535D"/>
          <w:sz w:val="24"/>
          <w:szCs w:val="24"/>
          <w:lang w:eastAsia="it-IT"/>
        </w:rPr>
      </w:pPr>
      <w:hyperlink r:id="rId9" w:history="1">
        <w:r w:rsidRPr="00AF7040">
          <w:rPr>
            <w:rFonts w:ascii="Titillium Web" w:eastAsia="Times New Roman" w:hAnsi="Titillium Web" w:cs="Arial"/>
            <w:color w:val="677584"/>
            <w:sz w:val="24"/>
            <w:szCs w:val="24"/>
            <w:lang w:eastAsia="it-IT"/>
          </w:rPr>
          <w:t>SC62</w:t>
        </w:r>
      </w:hyperlink>
      <w:r w:rsidRPr="00AF7040">
        <w:rPr>
          <w:rFonts w:ascii="Titillium Web" w:eastAsia="Times New Roman" w:hAnsi="Titillium Web" w:cs="Arial"/>
          <w:color w:val="49535D"/>
          <w:sz w:val="24"/>
          <w:szCs w:val="24"/>
          <w:lang w:eastAsia="it-IT"/>
        </w:rPr>
        <w:t xml:space="preserve"> per la </w:t>
      </w:r>
      <w:r w:rsidRPr="00AF7040">
        <w:rPr>
          <w:rFonts w:ascii="Titillium Web" w:eastAsia="Times New Roman" w:hAnsi="Titillium Web" w:cs="Arial"/>
          <w:b/>
          <w:bCs/>
          <w:color w:val="49535D"/>
          <w:sz w:val="24"/>
          <w:szCs w:val="24"/>
          <w:lang w:eastAsia="it-IT"/>
        </w:rPr>
        <w:t>richiesta di abilitazione</w:t>
      </w:r>
      <w:r w:rsidRPr="00AF7040">
        <w:rPr>
          <w:rFonts w:ascii="Titillium Web" w:eastAsia="Times New Roman" w:hAnsi="Titillium Web" w:cs="Arial"/>
          <w:color w:val="49535D"/>
          <w:sz w:val="24"/>
          <w:szCs w:val="24"/>
          <w:lang w:eastAsia="it-IT"/>
        </w:rPr>
        <w:t xml:space="preserve"> presentata direttamente dal </w:t>
      </w:r>
      <w:r w:rsidRPr="00AF7040">
        <w:rPr>
          <w:rFonts w:ascii="Titillium Web" w:eastAsia="Times New Roman" w:hAnsi="Titillium Web" w:cs="Arial"/>
          <w:b/>
          <w:bCs/>
          <w:color w:val="49535D"/>
          <w:sz w:val="24"/>
          <w:szCs w:val="24"/>
          <w:lang w:eastAsia="it-IT"/>
        </w:rPr>
        <w:t>dipendente</w:t>
      </w:r>
      <w:r w:rsidRPr="00AF7040">
        <w:rPr>
          <w:rFonts w:ascii="Titillium Web" w:eastAsia="Times New Roman" w:hAnsi="Titillium Web" w:cs="Arial"/>
          <w:color w:val="49535D"/>
          <w:sz w:val="24"/>
          <w:szCs w:val="24"/>
          <w:lang w:eastAsia="it-IT"/>
        </w:rPr>
        <w:t xml:space="preserve"> individuato per l’accesso al servizio.</w:t>
      </w:r>
    </w:p>
    <w:p w:rsidR="00F959A4" w:rsidRPr="00AF7040" w:rsidRDefault="00F959A4" w:rsidP="00F959A4">
      <w:pPr>
        <w:spacing w:after="165" w:line="240" w:lineRule="auto"/>
        <w:rPr>
          <w:rFonts w:ascii="Titillium Web" w:eastAsia="Times New Roman" w:hAnsi="Titillium Web" w:cs="Arial"/>
          <w:color w:val="49535D"/>
          <w:sz w:val="24"/>
          <w:szCs w:val="24"/>
          <w:lang w:eastAsia="it-IT"/>
        </w:rPr>
      </w:pPr>
      <w:r w:rsidRPr="00AF7040">
        <w:rPr>
          <w:rFonts w:ascii="Titillium Web" w:eastAsia="Times New Roman" w:hAnsi="Titillium Web" w:cs="Arial"/>
          <w:color w:val="49535D"/>
          <w:sz w:val="24"/>
          <w:szCs w:val="24"/>
          <w:lang w:eastAsia="it-IT"/>
        </w:rPr>
        <w:t xml:space="preserve">Inoltre, il </w:t>
      </w:r>
      <w:hyperlink r:id="rId10" w:history="1">
        <w:r w:rsidRPr="00AF7040">
          <w:rPr>
            <w:rFonts w:ascii="Titillium Web" w:eastAsia="Times New Roman" w:hAnsi="Titillium Web" w:cs="Arial"/>
            <w:color w:val="677584"/>
            <w:sz w:val="24"/>
            <w:szCs w:val="24"/>
            <w:lang w:eastAsia="it-IT"/>
          </w:rPr>
          <w:t>messaggio 26 settembre 2017, n. 3685</w:t>
        </w:r>
      </w:hyperlink>
      <w:r w:rsidRPr="00AF7040">
        <w:rPr>
          <w:rFonts w:ascii="Titillium Web" w:eastAsia="Times New Roman" w:hAnsi="Titillium Web" w:cs="Arial"/>
          <w:color w:val="49535D"/>
          <w:sz w:val="24"/>
          <w:szCs w:val="24"/>
          <w:lang w:eastAsia="it-IT"/>
        </w:rPr>
        <w:t xml:space="preserve"> illustra </w:t>
      </w:r>
      <w:r w:rsidRPr="00AF7040">
        <w:rPr>
          <w:rFonts w:ascii="Titillium Web" w:eastAsia="Times New Roman" w:hAnsi="Titillium Web" w:cs="Arial"/>
          <w:b/>
          <w:bCs/>
          <w:color w:val="49535D"/>
          <w:sz w:val="24"/>
          <w:szCs w:val="24"/>
          <w:lang w:eastAsia="it-IT"/>
        </w:rPr>
        <w:t>un’ulteriore modalità</w:t>
      </w:r>
      <w:r w:rsidRPr="00AF7040">
        <w:rPr>
          <w:rFonts w:ascii="Titillium Web" w:eastAsia="Times New Roman" w:hAnsi="Titillium Web" w:cs="Arial"/>
          <w:color w:val="49535D"/>
          <w:sz w:val="24"/>
          <w:szCs w:val="24"/>
          <w:lang w:eastAsia="it-IT"/>
        </w:rPr>
        <w:t xml:space="preserve">, oltre quella già indicata nella </w:t>
      </w:r>
      <w:hyperlink r:id="rId11" w:history="1">
        <w:r w:rsidRPr="00AF7040">
          <w:rPr>
            <w:rFonts w:ascii="Titillium Web" w:eastAsia="Times New Roman" w:hAnsi="Titillium Web" w:cs="Arial"/>
            <w:color w:val="677584"/>
            <w:sz w:val="24"/>
            <w:szCs w:val="24"/>
            <w:lang w:eastAsia="it-IT"/>
          </w:rPr>
          <w:t>circolare INPS 12 settembre 2011, n. 118</w:t>
        </w:r>
      </w:hyperlink>
      <w:r w:rsidRPr="00AF7040">
        <w:rPr>
          <w:rFonts w:ascii="Titillium Web" w:eastAsia="Times New Roman" w:hAnsi="Titillium Web" w:cs="Arial"/>
          <w:color w:val="49535D"/>
          <w:sz w:val="24"/>
          <w:szCs w:val="24"/>
          <w:lang w:eastAsia="it-IT"/>
        </w:rPr>
        <w:t xml:space="preserve">, per la </w:t>
      </w:r>
      <w:r w:rsidRPr="00AF7040">
        <w:rPr>
          <w:rFonts w:ascii="Titillium Web" w:eastAsia="Times New Roman" w:hAnsi="Titillium Web" w:cs="Arial"/>
          <w:b/>
          <w:bCs/>
          <w:color w:val="49535D"/>
          <w:sz w:val="24"/>
          <w:szCs w:val="24"/>
          <w:lang w:eastAsia="it-IT"/>
        </w:rPr>
        <w:t>presentazione delle richieste</w:t>
      </w:r>
      <w:r w:rsidRPr="00AF7040">
        <w:rPr>
          <w:rFonts w:ascii="Titillium Web" w:eastAsia="Times New Roman" w:hAnsi="Titillium Web" w:cs="Arial"/>
          <w:color w:val="49535D"/>
          <w:sz w:val="24"/>
          <w:szCs w:val="24"/>
          <w:lang w:eastAsia="it-IT"/>
        </w:rPr>
        <w:t xml:space="preserve"> e il </w:t>
      </w:r>
      <w:r w:rsidRPr="00AF7040">
        <w:rPr>
          <w:rFonts w:ascii="Titillium Web" w:eastAsia="Times New Roman" w:hAnsi="Titillium Web" w:cs="Arial"/>
          <w:b/>
          <w:bCs/>
          <w:color w:val="49535D"/>
          <w:sz w:val="24"/>
          <w:szCs w:val="24"/>
          <w:lang w:eastAsia="it-IT"/>
        </w:rPr>
        <w:t>ritiro del PIN</w:t>
      </w:r>
      <w:r w:rsidRPr="00AF7040">
        <w:rPr>
          <w:rFonts w:ascii="Titillium Web" w:eastAsia="Times New Roman" w:hAnsi="Titillium Web" w:cs="Arial"/>
          <w:color w:val="49535D"/>
          <w:sz w:val="24"/>
          <w:szCs w:val="24"/>
          <w:lang w:eastAsia="it-IT"/>
        </w:rPr>
        <w:t xml:space="preserve"> da parte delle </w:t>
      </w:r>
      <w:r w:rsidRPr="00AF7040">
        <w:rPr>
          <w:rFonts w:ascii="Titillium Web" w:eastAsia="Times New Roman" w:hAnsi="Titillium Web" w:cs="Arial"/>
          <w:b/>
          <w:bCs/>
          <w:color w:val="49535D"/>
          <w:sz w:val="24"/>
          <w:szCs w:val="24"/>
          <w:lang w:eastAsia="it-IT"/>
        </w:rPr>
        <w:t>pubbliche amministrazioni</w:t>
      </w:r>
      <w:r w:rsidRPr="00AF7040">
        <w:rPr>
          <w:rFonts w:ascii="Titillium Web" w:eastAsia="Times New Roman" w:hAnsi="Titillium Web" w:cs="Arial"/>
          <w:color w:val="49535D"/>
          <w:sz w:val="24"/>
          <w:szCs w:val="24"/>
          <w:lang w:eastAsia="it-IT"/>
        </w:rPr>
        <w:t>.</w:t>
      </w:r>
    </w:p>
    <w:p w:rsidR="00B2657D" w:rsidRDefault="00B2657D"/>
    <w:sectPr w:rsidR="00B2657D" w:rsidSect="00B26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illium We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C2590"/>
    <w:multiLevelType w:val="multilevel"/>
    <w:tmpl w:val="73C0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F959A4"/>
    <w:rsid w:val="004A1748"/>
    <w:rsid w:val="00B2657D"/>
    <w:rsid w:val="00F9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9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ps.it/nuovoportaleinps/default.aspx?sPathID=%3b0%3b50721%3b&amp;lastMenu=50721&amp;iMenu=1&amp;sURL=https%3a%2f%2fwww.inps.it%2fnuovoportaleinps%2fdefault.aspx%3fmoduli%3dtrue%26iidmodulo%3d7679%26lingua%3dit%26sPathProv%3d%252fnuovoportaleinps%252fdefault.aspx%253fsGenerico%253dSC65%2526iPrestazioni%253d95&amp;RedirectForzato=Tru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ps.it/nuovoportaleinps/default.aspx?sPathID=%3b0%3b50721%3b&amp;lastMenu=50721&amp;iMenu=1&amp;sURL=https%3a%2f%2fwww.inps.it%2fbussola%2fVisualizzaDoc.aspx%3fsVirtualURL%3d%252fMessaggi%252fMessaggio%2520numero%25203685%2520del%252026-09-2017.htm&amp;RedirectForzato=Tru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ps.it/nuovoportaleinps/default.aspx?sPathID=%3b0%3b50721%3b&amp;lastMenu=50721&amp;iMenu=1&amp;sURL=https%3a%2f%2fwww.inps.it%2fbussola%2fVisualizzaDoc.aspx%3fsVirtualURL%3d%252fCircolari%252fCircolare%2520numero%2520118%2520del%252012-09-2011.htm&amp;RedirectForzato=True" TargetMode="External"/><Relationship Id="rId11" Type="http://schemas.openxmlformats.org/officeDocument/2006/relationships/hyperlink" Target="https://www.inps.it/nuovoportaleinps/default.aspx?sPathID=%3b0%3b50721%3b&amp;lastMenu=50721&amp;iMenu=1&amp;sURL=https%3a%2f%2fwww.inps.it%2fbussola%2fVisualizzaDoc.aspx%3fsVirtualURL%3d%252fCircolari%252fCircolare%2520numero%2520118%2520del%252012-09-2011.htm&amp;RedirectForzato=True" TargetMode="External"/><Relationship Id="rId5" Type="http://schemas.openxmlformats.org/officeDocument/2006/relationships/hyperlink" Target="https://www.inps.it/nuovoportaleinps/default.aspx?sPathID=%3b0%3b50721%3b&amp;lastMenu=50721&amp;iMenu=1&amp;sURL=https%3a%2f%2fwww.inps.it%2fNuovoportaleINPS%2fdefault.aspx%3fitemdir%3d51200%26lang%3dIT&amp;RedirectForzato=True" TargetMode="External"/><Relationship Id="rId10" Type="http://schemas.openxmlformats.org/officeDocument/2006/relationships/hyperlink" Target="https://www.inps.it/nuovoportaleinps/default.aspx?sPathID=%3b0%3b50721%3b&amp;lastMenu=50721&amp;iMenu=1&amp;sURL=https%3a%2f%2fwww.inps.it%2fbussola%2fVisualizzaDoc.aspx%3fsVirtualURL%3d%252fMessaggi%252fMessaggio%2520numero%25203685%2520del%252026-09-2017.htm&amp;RedirectForzato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ps.it/nuovoportaleinps/default.aspx?sPathID=%3b0%3b50721%3b&amp;lastMenu=50721&amp;iMenu=1&amp;sURL=https%3a%2f%2fwww.inps.it%2fnuovoportaleinps%2fdefault.aspx%3fmoduli%3dtrue%26iidmodulo%3d7678%26lingua%3dit%26sPathProv%3d%252fnuovoportaleinps%252fdefault.aspx%253fsGenerico%253dSC62%2526iPrestazioni%253d95&amp;RedirectForzato=Tru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GiovanniT</dc:creator>
  <cp:lastModifiedBy>GiovanniT</cp:lastModifiedBy>
  <cp:revision>1</cp:revision>
  <dcterms:created xsi:type="dcterms:W3CDTF">2017-10-02T09:00:00Z</dcterms:created>
  <dcterms:modified xsi:type="dcterms:W3CDTF">2017-10-02T09:01:00Z</dcterms:modified>
</cp:coreProperties>
</file>