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AAD10" w14:textId="77777777" w:rsidR="00946DA1" w:rsidRPr="00575412" w:rsidRDefault="00946DA1" w:rsidP="00946DA1">
      <w:pPr>
        <w:spacing w:after="0" w:line="360" w:lineRule="auto"/>
        <w:jc w:val="center"/>
        <w:rPr>
          <w:rFonts w:ascii="Arial" w:hAnsi="Arial" w:cs="Arial"/>
          <w:b/>
          <w:bCs/>
          <w:sz w:val="20"/>
          <w:szCs w:val="20"/>
        </w:rPr>
      </w:pPr>
      <w:r w:rsidRPr="00575412">
        <w:rPr>
          <w:rFonts w:ascii="Arial" w:hAnsi="Arial" w:cs="Arial"/>
          <w:b/>
          <w:bCs/>
          <w:sz w:val="20"/>
          <w:szCs w:val="20"/>
        </w:rPr>
        <w:t>Modifiche da apportare ai testi Accertamenti IMU-TASI – TARI</w:t>
      </w:r>
    </w:p>
    <w:p w14:paraId="404DFBF4" w14:textId="77777777" w:rsidR="00946DA1" w:rsidRPr="00575412" w:rsidRDefault="00946DA1" w:rsidP="00946DA1">
      <w:pPr>
        <w:spacing w:after="0" w:line="360" w:lineRule="auto"/>
        <w:jc w:val="both"/>
        <w:rPr>
          <w:rFonts w:ascii="Arial" w:hAnsi="Arial" w:cs="Arial"/>
          <w:b/>
          <w:bCs/>
          <w:sz w:val="20"/>
          <w:szCs w:val="20"/>
        </w:rPr>
      </w:pPr>
    </w:p>
    <w:p w14:paraId="0AC7A1E0" w14:textId="77777777" w:rsidR="00946DA1" w:rsidRPr="00575412" w:rsidRDefault="00946DA1" w:rsidP="00946DA1">
      <w:pPr>
        <w:spacing w:after="0" w:line="360" w:lineRule="auto"/>
        <w:jc w:val="center"/>
        <w:rPr>
          <w:rFonts w:ascii="Arial" w:hAnsi="Arial" w:cs="Arial"/>
          <w:b/>
          <w:bCs/>
          <w:sz w:val="20"/>
          <w:szCs w:val="20"/>
        </w:rPr>
      </w:pPr>
      <w:r w:rsidRPr="00575412">
        <w:rPr>
          <w:rFonts w:ascii="Arial" w:hAnsi="Arial" w:cs="Arial"/>
          <w:b/>
          <w:bCs/>
          <w:sz w:val="20"/>
          <w:szCs w:val="20"/>
        </w:rPr>
        <w:t>SOLLECITO ED ACCERTAMENTO SUL NON PAGATO</w:t>
      </w:r>
    </w:p>
    <w:p w14:paraId="2799C6DF" w14:textId="77777777" w:rsidR="00946DA1" w:rsidRPr="00575412" w:rsidRDefault="00946DA1" w:rsidP="00946DA1">
      <w:pPr>
        <w:spacing w:after="0" w:line="360" w:lineRule="auto"/>
        <w:jc w:val="both"/>
        <w:rPr>
          <w:rFonts w:ascii="Arial" w:hAnsi="Arial" w:cs="Arial"/>
          <w:b/>
          <w:bCs/>
          <w:sz w:val="20"/>
          <w:szCs w:val="20"/>
        </w:rPr>
      </w:pPr>
    </w:p>
    <w:p w14:paraId="516F3134" w14:textId="77777777" w:rsidR="00946DA1" w:rsidRPr="00575412" w:rsidRDefault="00946DA1" w:rsidP="00946DA1">
      <w:pPr>
        <w:spacing w:after="0" w:line="360" w:lineRule="auto"/>
        <w:jc w:val="both"/>
        <w:rPr>
          <w:rFonts w:ascii="Arial" w:hAnsi="Arial" w:cs="Arial"/>
          <w:b/>
          <w:bCs/>
          <w:sz w:val="20"/>
          <w:szCs w:val="20"/>
        </w:rPr>
      </w:pPr>
      <w:r w:rsidRPr="00575412">
        <w:rPr>
          <w:rFonts w:ascii="Arial" w:hAnsi="Arial" w:cs="Arial"/>
          <w:b/>
          <w:bCs/>
          <w:sz w:val="20"/>
          <w:szCs w:val="20"/>
        </w:rPr>
        <w:t>-Nella "Premessa richiami normativi":</w:t>
      </w:r>
    </w:p>
    <w:p w14:paraId="31BF69B7" w14:textId="77777777" w:rsidR="00946DA1" w:rsidRPr="00575412" w:rsidRDefault="00946DA1" w:rsidP="00946DA1">
      <w:pPr>
        <w:spacing w:after="0" w:line="360" w:lineRule="auto"/>
        <w:jc w:val="both"/>
        <w:rPr>
          <w:rFonts w:ascii="Arial" w:hAnsi="Arial" w:cs="Arial"/>
          <w:b/>
          <w:bCs/>
          <w:sz w:val="20"/>
          <w:szCs w:val="20"/>
        </w:rPr>
      </w:pPr>
      <w:r w:rsidRPr="00575412">
        <w:rPr>
          <w:rFonts w:ascii="Arial" w:hAnsi="Arial" w:cs="Arial"/>
          <w:b/>
          <w:bCs/>
          <w:sz w:val="20"/>
          <w:szCs w:val="20"/>
        </w:rPr>
        <w:t xml:space="preserve">Vista la </w:t>
      </w:r>
      <w:hyperlink r:id="rId6" w:history="1">
        <w:r w:rsidRPr="007D62B7">
          <w:rPr>
            <w:rStyle w:val="Collegamentoipertestuale"/>
            <w:rFonts w:ascii="Arial" w:hAnsi="Arial" w:cs="Arial"/>
            <w:b/>
            <w:bCs/>
            <w:sz w:val="20"/>
            <w:szCs w:val="20"/>
          </w:rPr>
          <w:t>legge n. 212/2000</w:t>
        </w:r>
      </w:hyperlink>
      <w:r w:rsidRPr="00575412">
        <w:rPr>
          <w:rFonts w:ascii="Arial" w:hAnsi="Arial" w:cs="Arial"/>
          <w:b/>
          <w:bCs/>
          <w:sz w:val="20"/>
          <w:szCs w:val="20"/>
        </w:rPr>
        <w:t xml:space="preserve"> "Disposizioni in materia di statuto dei diritti del contribuente" così come modificata dal </w:t>
      </w:r>
      <w:hyperlink r:id="rId7" w:history="1">
        <w:proofErr w:type="spellStart"/>
        <w:r w:rsidRPr="007D62B7">
          <w:rPr>
            <w:rStyle w:val="Collegamentoipertestuale"/>
            <w:rFonts w:ascii="Arial" w:hAnsi="Arial" w:cs="Arial"/>
            <w:b/>
            <w:bCs/>
            <w:sz w:val="20"/>
            <w:szCs w:val="20"/>
          </w:rPr>
          <w:t>D.Lgs</w:t>
        </w:r>
        <w:proofErr w:type="spellEnd"/>
        <w:r w:rsidRPr="007D62B7">
          <w:rPr>
            <w:rStyle w:val="Collegamentoipertestuale"/>
            <w:rFonts w:ascii="Arial" w:hAnsi="Arial" w:cs="Arial"/>
            <w:b/>
            <w:bCs/>
            <w:sz w:val="20"/>
            <w:szCs w:val="20"/>
          </w:rPr>
          <w:t xml:space="preserve"> n. 219 del 30/12/2023</w:t>
        </w:r>
      </w:hyperlink>
      <w:r w:rsidRPr="00575412">
        <w:rPr>
          <w:rFonts w:ascii="Arial" w:hAnsi="Arial" w:cs="Arial"/>
          <w:b/>
          <w:bCs/>
          <w:sz w:val="20"/>
          <w:szCs w:val="20"/>
        </w:rPr>
        <w:t>;</w:t>
      </w:r>
    </w:p>
    <w:p w14:paraId="17475272" w14:textId="77777777" w:rsidR="00946DA1" w:rsidRPr="00575412" w:rsidRDefault="00946DA1" w:rsidP="00946DA1">
      <w:pPr>
        <w:spacing w:after="0" w:line="360" w:lineRule="auto"/>
        <w:jc w:val="both"/>
        <w:rPr>
          <w:rFonts w:ascii="Arial" w:hAnsi="Arial" w:cs="Arial"/>
          <w:b/>
          <w:bCs/>
          <w:sz w:val="20"/>
          <w:szCs w:val="20"/>
        </w:rPr>
      </w:pPr>
    </w:p>
    <w:p w14:paraId="2632A566" w14:textId="77777777" w:rsidR="00946DA1" w:rsidRPr="00575412" w:rsidRDefault="00946DA1" w:rsidP="00946DA1">
      <w:pPr>
        <w:spacing w:after="0" w:line="360" w:lineRule="auto"/>
        <w:jc w:val="both"/>
        <w:rPr>
          <w:rFonts w:ascii="Arial" w:hAnsi="Arial" w:cs="Arial"/>
          <w:b/>
          <w:bCs/>
          <w:sz w:val="20"/>
          <w:szCs w:val="20"/>
        </w:rPr>
      </w:pPr>
      <w:r w:rsidRPr="00575412">
        <w:rPr>
          <w:rFonts w:ascii="Arial" w:hAnsi="Arial" w:cs="Arial"/>
          <w:b/>
          <w:bCs/>
          <w:sz w:val="20"/>
          <w:szCs w:val="20"/>
        </w:rPr>
        <w:t xml:space="preserve">- </w:t>
      </w:r>
      <w:r>
        <w:rPr>
          <w:rFonts w:ascii="Arial" w:hAnsi="Arial" w:cs="Arial"/>
          <w:b/>
          <w:bCs/>
          <w:sz w:val="20"/>
          <w:szCs w:val="20"/>
        </w:rPr>
        <w:t>RICORSO</w:t>
      </w:r>
    </w:p>
    <w:p w14:paraId="00000690" w14:textId="77777777" w:rsidR="00946DA1" w:rsidRPr="00575412" w:rsidRDefault="00946DA1" w:rsidP="00946DA1">
      <w:pPr>
        <w:spacing w:after="0" w:line="360" w:lineRule="auto"/>
        <w:jc w:val="both"/>
        <w:rPr>
          <w:rFonts w:ascii="Arial" w:hAnsi="Arial" w:cs="Arial"/>
          <w:b/>
          <w:bCs/>
          <w:sz w:val="20"/>
          <w:szCs w:val="20"/>
        </w:rPr>
      </w:pPr>
      <w:r w:rsidRPr="00575412">
        <w:rPr>
          <w:rFonts w:ascii="Arial" w:hAnsi="Arial" w:cs="Arial"/>
          <w:b/>
          <w:bCs/>
          <w:sz w:val="20"/>
          <w:szCs w:val="20"/>
        </w:rPr>
        <w:t>Avverso il presente atto ai sensi degli art.</w:t>
      </w:r>
      <w:hyperlink r:id="rId8" w:history="1">
        <w:r w:rsidRPr="007D62B7">
          <w:rPr>
            <w:rStyle w:val="Collegamentoipertestuale"/>
            <w:rFonts w:ascii="Arial" w:hAnsi="Arial" w:cs="Arial"/>
            <w:b/>
            <w:bCs/>
            <w:sz w:val="20"/>
            <w:szCs w:val="20"/>
          </w:rPr>
          <w:t>19</w:t>
        </w:r>
      </w:hyperlink>
      <w:r w:rsidRPr="00575412">
        <w:rPr>
          <w:rFonts w:ascii="Arial" w:hAnsi="Arial" w:cs="Arial"/>
          <w:b/>
          <w:bCs/>
          <w:sz w:val="20"/>
          <w:szCs w:val="20"/>
        </w:rPr>
        <w:t xml:space="preserve"> e </w:t>
      </w:r>
      <w:hyperlink r:id="rId9" w:history="1">
        <w:r w:rsidRPr="007D62B7">
          <w:rPr>
            <w:rStyle w:val="Collegamentoipertestuale"/>
            <w:rFonts w:ascii="Arial" w:hAnsi="Arial" w:cs="Arial"/>
            <w:b/>
            <w:bCs/>
            <w:sz w:val="20"/>
            <w:szCs w:val="20"/>
          </w:rPr>
          <w:t>20</w:t>
        </w:r>
      </w:hyperlink>
      <w:r w:rsidRPr="00575412">
        <w:rPr>
          <w:rFonts w:ascii="Arial" w:hAnsi="Arial" w:cs="Arial"/>
          <w:b/>
          <w:bCs/>
          <w:sz w:val="20"/>
          <w:szCs w:val="20"/>
        </w:rPr>
        <w:t xml:space="preserve"> del D.lgs. n.546/92 è ammesso ricorso giurisdizionale innanzi alla Corte di Giustizia Tributaria di Primo Grado. Il ricorso, contenente i dati previsti </w:t>
      </w:r>
      <w:hyperlink r:id="rId10" w:history="1">
        <w:r w:rsidRPr="007D62B7">
          <w:rPr>
            <w:rStyle w:val="Collegamentoipertestuale"/>
            <w:rFonts w:ascii="Arial" w:hAnsi="Arial" w:cs="Arial"/>
            <w:b/>
            <w:bCs/>
            <w:sz w:val="20"/>
            <w:szCs w:val="20"/>
          </w:rPr>
          <w:t>dall'art.18 del decreto legislativo n.546/1992</w:t>
        </w:r>
      </w:hyperlink>
      <w:r w:rsidRPr="00575412">
        <w:rPr>
          <w:rFonts w:ascii="Arial" w:hAnsi="Arial" w:cs="Arial"/>
          <w:b/>
          <w:bCs/>
          <w:sz w:val="20"/>
          <w:szCs w:val="20"/>
        </w:rPr>
        <w:t xml:space="preserve">, deve essere proposto entro il termine perentorio di 60 giorni dalla data di notifica, tenuto conto dei termini di sospensione previsti dalla normativa vigente. Il ricorso è proposto mediante notifica a questo Comune mediante invio telematico all'indirizzo di posta elettronica certificata: ____________________________, secondo le modalità previste </w:t>
      </w:r>
      <w:hyperlink r:id="rId11" w:history="1">
        <w:r w:rsidRPr="007D62B7">
          <w:rPr>
            <w:rStyle w:val="Collegamentoipertestuale"/>
            <w:rFonts w:ascii="Arial" w:hAnsi="Arial" w:cs="Arial"/>
            <w:b/>
            <w:bCs/>
            <w:sz w:val="20"/>
            <w:szCs w:val="20"/>
          </w:rPr>
          <w:t xml:space="preserve">dall'art. 16-bis, comma 3, del </w:t>
        </w:r>
        <w:proofErr w:type="spellStart"/>
        <w:r w:rsidRPr="007D62B7">
          <w:rPr>
            <w:rStyle w:val="Collegamentoipertestuale"/>
            <w:rFonts w:ascii="Arial" w:hAnsi="Arial" w:cs="Arial"/>
            <w:b/>
            <w:bCs/>
            <w:sz w:val="20"/>
            <w:szCs w:val="20"/>
          </w:rPr>
          <w:t>D.Lgs</w:t>
        </w:r>
        <w:proofErr w:type="spellEnd"/>
        <w:r w:rsidRPr="007D62B7">
          <w:rPr>
            <w:rStyle w:val="Collegamentoipertestuale"/>
            <w:rFonts w:ascii="Arial" w:hAnsi="Arial" w:cs="Arial"/>
            <w:b/>
            <w:bCs/>
            <w:sz w:val="20"/>
            <w:szCs w:val="20"/>
          </w:rPr>
          <w:t xml:space="preserve"> 546/1992</w:t>
        </w:r>
      </w:hyperlink>
      <w:r w:rsidRPr="00575412">
        <w:rPr>
          <w:rFonts w:ascii="Arial" w:hAnsi="Arial" w:cs="Arial"/>
          <w:b/>
          <w:bCs/>
          <w:sz w:val="20"/>
          <w:szCs w:val="20"/>
        </w:rPr>
        <w:t xml:space="preserve">. Nelle controversie di valore fino a 3.000,00 euro in cui il contribuente sta in giudizio senza assistenza tecnica, la notifica può avvenire anche tramite: </w:t>
      </w:r>
    </w:p>
    <w:p w14:paraId="1C0860E3" w14:textId="77777777" w:rsidR="00946DA1" w:rsidRPr="00575412" w:rsidRDefault="00946DA1" w:rsidP="00946DA1">
      <w:pPr>
        <w:spacing w:after="0" w:line="360" w:lineRule="auto"/>
        <w:jc w:val="both"/>
        <w:rPr>
          <w:rFonts w:ascii="Arial" w:hAnsi="Arial" w:cs="Arial"/>
          <w:b/>
          <w:bCs/>
          <w:sz w:val="20"/>
          <w:szCs w:val="20"/>
        </w:rPr>
      </w:pPr>
      <w:r w:rsidRPr="00575412">
        <w:rPr>
          <w:rFonts w:ascii="Arial" w:hAnsi="Arial" w:cs="Arial"/>
          <w:b/>
          <w:bCs/>
          <w:sz w:val="20"/>
          <w:szCs w:val="20"/>
        </w:rPr>
        <w:t xml:space="preserve">-ufficiale giudiziario (articoli 137 e seguenti del codice di procedura civile); </w:t>
      </w:r>
    </w:p>
    <w:p w14:paraId="08799C24" w14:textId="77777777" w:rsidR="00946DA1" w:rsidRPr="00575412" w:rsidRDefault="00946DA1" w:rsidP="00946DA1">
      <w:pPr>
        <w:spacing w:after="0" w:line="360" w:lineRule="auto"/>
        <w:jc w:val="both"/>
        <w:rPr>
          <w:rFonts w:ascii="Arial" w:hAnsi="Arial" w:cs="Arial"/>
          <w:b/>
          <w:bCs/>
          <w:sz w:val="20"/>
          <w:szCs w:val="20"/>
        </w:rPr>
      </w:pPr>
      <w:r w:rsidRPr="00575412">
        <w:rPr>
          <w:rFonts w:ascii="Arial" w:hAnsi="Arial" w:cs="Arial"/>
          <w:b/>
          <w:bCs/>
          <w:sz w:val="20"/>
          <w:szCs w:val="20"/>
        </w:rPr>
        <w:t xml:space="preserve">-consegna diretta al Comune, che rilascia la relativa ricevuta; </w:t>
      </w:r>
    </w:p>
    <w:p w14:paraId="3C67D0C5" w14:textId="77777777" w:rsidR="00946DA1" w:rsidRPr="00575412" w:rsidRDefault="00946DA1" w:rsidP="00946DA1">
      <w:pPr>
        <w:spacing w:after="0" w:line="360" w:lineRule="auto"/>
        <w:jc w:val="both"/>
        <w:rPr>
          <w:rFonts w:ascii="Arial" w:hAnsi="Arial" w:cs="Arial"/>
          <w:b/>
          <w:bCs/>
          <w:sz w:val="20"/>
          <w:szCs w:val="20"/>
        </w:rPr>
      </w:pPr>
      <w:r w:rsidRPr="00575412">
        <w:rPr>
          <w:rFonts w:ascii="Arial" w:hAnsi="Arial" w:cs="Arial"/>
          <w:b/>
          <w:bCs/>
          <w:sz w:val="20"/>
          <w:szCs w:val="20"/>
        </w:rPr>
        <w:t xml:space="preserve">-spedizione con plico raccomandato senza busta con ricevuta di ritorno. </w:t>
      </w:r>
    </w:p>
    <w:p w14:paraId="75C0D82D" w14:textId="77777777" w:rsidR="00946DA1" w:rsidRPr="00575412" w:rsidRDefault="00946DA1" w:rsidP="00946DA1">
      <w:pPr>
        <w:spacing w:after="0" w:line="360" w:lineRule="auto"/>
        <w:jc w:val="both"/>
        <w:rPr>
          <w:rFonts w:ascii="Arial" w:hAnsi="Arial" w:cs="Arial"/>
          <w:b/>
          <w:bCs/>
          <w:sz w:val="20"/>
          <w:szCs w:val="20"/>
        </w:rPr>
      </w:pPr>
      <w:r w:rsidRPr="00575412">
        <w:rPr>
          <w:rFonts w:ascii="Arial" w:hAnsi="Arial" w:cs="Arial"/>
          <w:b/>
          <w:bCs/>
          <w:sz w:val="20"/>
          <w:szCs w:val="20"/>
        </w:rPr>
        <w:t xml:space="preserve">Nel caso di ricorso notificato con tali modalità, nel ricorso può essere inserita l'elezione di domicilio e non deve essere indicato un indirizzo di posta elettronica certificata. Inoltre la sottoscrizione del ricorso deve essere autografa. Il ricorso è soggetto al contributo unificato di cui al </w:t>
      </w:r>
      <w:hyperlink r:id="rId12" w:history="1">
        <w:r w:rsidRPr="007D62B7">
          <w:rPr>
            <w:rStyle w:val="Collegamentoipertestuale"/>
            <w:rFonts w:ascii="Arial" w:hAnsi="Arial" w:cs="Arial"/>
            <w:b/>
            <w:bCs/>
            <w:sz w:val="20"/>
            <w:szCs w:val="20"/>
          </w:rPr>
          <w:t>D.P.R.n.115/2002</w:t>
        </w:r>
      </w:hyperlink>
      <w:r w:rsidRPr="00575412">
        <w:rPr>
          <w:rFonts w:ascii="Arial" w:hAnsi="Arial" w:cs="Arial"/>
          <w:b/>
          <w:bCs/>
          <w:sz w:val="20"/>
          <w:szCs w:val="20"/>
        </w:rPr>
        <w:t xml:space="preserve">. Il deposito e la notifica delle parti, dei consulenti e degli organi tecnici indicati </w:t>
      </w:r>
      <w:hyperlink r:id="rId13" w:history="1">
        <w:r w:rsidRPr="007D62B7">
          <w:rPr>
            <w:rStyle w:val="Collegamentoipertestuale"/>
            <w:rFonts w:ascii="Arial" w:hAnsi="Arial" w:cs="Arial"/>
            <w:b/>
            <w:bCs/>
            <w:sz w:val="20"/>
            <w:szCs w:val="20"/>
          </w:rPr>
          <w:t>nell'art. 7, comma 2</w:t>
        </w:r>
      </w:hyperlink>
      <w:r w:rsidRPr="00575412">
        <w:rPr>
          <w:rFonts w:ascii="Arial" w:hAnsi="Arial" w:cs="Arial"/>
          <w:b/>
          <w:bCs/>
          <w:sz w:val="20"/>
          <w:szCs w:val="20"/>
        </w:rPr>
        <w:t xml:space="preserve">, a seguito della modifica </w:t>
      </w:r>
      <w:hyperlink r:id="rId14" w:history="1">
        <w:r w:rsidRPr="007D62B7">
          <w:rPr>
            <w:rStyle w:val="Collegamentoipertestuale"/>
            <w:rFonts w:ascii="Arial" w:hAnsi="Arial" w:cs="Arial"/>
            <w:b/>
            <w:bCs/>
            <w:sz w:val="20"/>
            <w:szCs w:val="20"/>
          </w:rPr>
          <w:t xml:space="preserve">dell'art 16 bis del </w:t>
        </w:r>
        <w:proofErr w:type="spellStart"/>
        <w:r w:rsidRPr="007D62B7">
          <w:rPr>
            <w:rStyle w:val="Collegamentoipertestuale"/>
            <w:rFonts w:ascii="Arial" w:hAnsi="Arial" w:cs="Arial"/>
            <w:b/>
            <w:bCs/>
            <w:sz w:val="20"/>
            <w:szCs w:val="20"/>
          </w:rPr>
          <w:t>D.Lgs.</w:t>
        </w:r>
        <w:proofErr w:type="spellEnd"/>
        <w:r w:rsidRPr="007D62B7">
          <w:rPr>
            <w:rStyle w:val="Collegamentoipertestuale"/>
            <w:rFonts w:ascii="Arial" w:hAnsi="Arial" w:cs="Arial"/>
            <w:b/>
            <w:bCs/>
            <w:sz w:val="20"/>
            <w:szCs w:val="20"/>
          </w:rPr>
          <w:t xml:space="preserve"> n. 546 del 1992</w:t>
        </w:r>
      </w:hyperlink>
      <w:r w:rsidRPr="00575412">
        <w:rPr>
          <w:rFonts w:ascii="Arial" w:hAnsi="Arial" w:cs="Arial"/>
          <w:b/>
          <w:bCs/>
          <w:sz w:val="20"/>
          <w:szCs w:val="20"/>
        </w:rPr>
        <w:t xml:space="preserve">, avviene esclusivamente con modalità telematiche, secondo le disposizioni contenute nel </w:t>
      </w:r>
      <w:hyperlink r:id="rId15" w:history="1">
        <w:r w:rsidRPr="00A35C36">
          <w:rPr>
            <w:rStyle w:val="Collegamentoipertestuale"/>
            <w:rFonts w:ascii="Arial" w:hAnsi="Arial" w:cs="Arial"/>
            <w:b/>
            <w:bCs/>
            <w:sz w:val="20"/>
            <w:szCs w:val="20"/>
          </w:rPr>
          <w:t>decreto del Ministro dell'economia e delle finanze 23 dicembre 2013, n. 163</w:t>
        </w:r>
      </w:hyperlink>
      <w:r w:rsidRPr="00575412">
        <w:rPr>
          <w:rFonts w:ascii="Arial" w:hAnsi="Arial" w:cs="Arial"/>
          <w:b/>
          <w:bCs/>
          <w:sz w:val="20"/>
          <w:szCs w:val="20"/>
        </w:rPr>
        <w:t xml:space="preserve">, e nei successivi decreti di attuazione. L'obbligo non sussiste per i contribuenti che stanno in giudizio senza difensore per le controversie fino €. 3.000,00 (tremila). Se l'importo del tributo liquidato con il presente atto è pari o superiore ad €. 3.000,00 (tremila) è necessario che il ricorrente dia mandato ad un difensore abilitato all'assistenza tecnica nel processo tributario, giusto art.12 del D.lgs. 546/92. La Costituzione in Giudizio del ricorrente, a pena di inammissibilità, si effettua esclusivamente mediante deposito del ricorso alla Corte di giustizia tributaria di _____________ entro 30 giorni dalla data di notifica del ricorso al Comune. Per poter eseguire il deposito ricorso/appello e degli altri atti processuali in modalità telematica è necessario registrarsi all'applicazione PTT del Sistema informativo della Giustizia Tributaria (SIGIT). In caso di tempestiva proposizione del ricorso si applicano le disposizioni di cui </w:t>
      </w:r>
      <w:hyperlink r:id="rId16" w:history="1">
        <w:r w:rsidRPr="00A35C36">
          <w:rPr>
            <w:rStyle w:val="Collegamentoipertestuale"/>
            <w:rFonts w:ascii="Arial" w:hAnsi="Arial" w:cs="Arial"/>
            <w:b/>
            <w:bCs/>
            <w:sz w:val="20"/>
            <w:szCs w:val="20"/>
          </w:rPr>
          <w:t>all'articolo 19 del decreto legislativo 18 dicembre 1997, n. 472</w:t>
        </w:r>
      </w:hyperlink>
      <w:r w:rsidRPr="00575412">
        <w:rPr>
          <w:rFonts w:ascii="Arial" w:hAnsi="Arial" w:cs="Arial"/>
          <w:b/>
          <w:bCs/>
          <w:sz w:val="20"/>
          <w:szCs w:val="20"/>
        </w:rPr>
        <w:t>, concernente l'esecuzione delle sanzioni.</w:t>
      </w:r>
    </w:p>
    <w:p w14:paraId="0232228C" w14:textId="77777777" w:rsidR="00946DA1" w:rsidRPr="00575412" w:rsidRDefault="00946DA1" w:rsidP="00946DA1">
      <w:pPr>
        <w:spacing w:after="0" w:line="360" w:lineRule="auto"/>
        <w:jc w:val="both"/>
        <w:rPr>
          <w:rFonts w:ascii="Arial" w:hAnsi="Arial" w:cs="Arial"/>
          <w:b/>
          <w:bCs/>
          <w:sz w:val="20"/>
          <w:szCs w:val="20"/>
        </w:rPr>
      </w:pPr>
      <w:r w:rsidRPr="00575412">
        <w:rPr>
          <w:rFonts w:ascii="Arial" w:hAnsi="Arial" w:cs="Arial"/>
          <w:b/>
          <w:bCs/>
          <w:sz w:val="20"/>
          <w:szCs w:val="20"/>
        </w:rPr>
        <w:t xml:space="preserve">Si ricorda che il </w:t>
      </w:r>
      <w:hyperlink r:id="rId17" w:history="1">
        <w:r w:rsidRPr="00A35C36">
          <w:rPr>
            <w:rStyle w:val="Collegamentoipertestuale"/>
            <w:rFonts w:ascii="Arial" w:hAnsi="Arial" w:cs="Arial"/>
            <w:b/>
            <w:bCs/>
            <w:sz w:val="20"/>
            <w:szCs w:val="20"/>
          </w:rPr>
          <w:t>D. Lgs. n. 220/2023</w:t>
        </w:r>
      </w:hyperlink>
      <w:r w:rsidRPr="00575412">
        <w:rPr>
          <w:rFonts w:ascii="Arial" w:hAnsi="Arial" w:cs="Arial"/>
          <w:b/>
          <w:bCs/>
          <w:sz w:val="20"/>
          <w:szCs w:val="20"/>
        </w:rPr>
        <w:t xml:space="preserve"> pubblicato in Gazzetta Ufficiale il 03.01.2024 ha stabilito l'abrogazione della fase di reclamo-mediazione nel processo tributario prevista per le liti del valore sino a 50.000 euro ( </w:t>
      </w:r>
      <w:hyperlink r:id="rId18" w:history="1">
        <w:r w:rsidRPr="00A35C36">
          <w:rPr>
            <w:rStyle w:val="Collegamentoipertestuale"/>
            <w:rFonts w:ascii="Arial" w:hAnsi="Arial" w:cs="Arial"/>
            <w:b/>
            <w:bCs/>
            <w:sz w:val="20"/>
            <w:szCs w:val="20"/>
          </w:rPr>
          <w:t xml:space="preserve">art. 17-bis del </w:t>
        </w:r>
        <w:proofErr w:type="spellStart"/>
        <w:r w:rsidRPr="00A35C36">
          <w:rPr>
            <w:rStyle w:val="Collegamentoipertestuale"/>
            <w:rFonts w:ascii="Arial" w:hAnsi="Arial" w:cs="Arial"/>
            <w:b/>
            <w:bCs/>
            <w:sz w:val="20"/>
            <w:szCs w:val="20"/>
          </w:rPr>
          <w:t>D.Lgs.</w:t>
        </w:r>
        <w:proofErr w:type="spellEnd"/>
        <w:r w:rsidRPr="00A35C36">
          <w:rPr>
            <w:rStyle w:val="Collegamentoipertestuale"/>
            <w:rFonts w:ascii="Arial" w:hAnsi="Arial" w:cs="Arial"/>
            <w:b/>
            <w:bCs/>
            <w:sz w:val="20"/>
            <w:szCs w:val="20"/>
          </w:rPr>
          <w:t xml:space="preserve"> n. 546/92</w:t>
        </w:r>
      </w:hyperlink>
      <w:r w:rsidRPr="00575412">
        <w:rPr>
          <w:rFonts w:ascii="Arial" w:hAnsi="Arial" w:cs="Arial"/>
          <w:b/>
          <w:bCs/>
          <w:sz w:val="20"/>
          <w:szCs w:val="20"/>
        </w:rPr>
        <w:t>) a far data dal 04/01/2024.</w:t>
      </w:r>
    </w:p>
    <w:p w14:paraId="5864136C" w14:textId="77777777" w:rsidR="00946DA1" w:rsidRPr="00575412" w:rsidRDefault="00946DA1" w:rsidP="00946DA1">
      <w:pPr>
        <w:spacing w:after="0" w:line="360" w:lineRule="auto"/>
        <w:jc w:val="both"/>
        <w:rPr>
          <w:rFonts w:ascii="Arial" w:hAnsi="Arial" w:cs="Arial"/>
          <w:b/>
          <w:bCs/>
          <w:sz w:val="20"/>
          <w:szCs w:val="20"/>
        </w:rPr>
      </w:pPr>
    </w:p>
    <w:p w14:paraId="124A09C7" w14:textId="77777777" w:rsidR="00946DA1" w:rsidRPr="00575412" w:rsidRDefault="00946DA1" w:rsidP="00946DA1">
      <w:pPr>
        <w:spacing w:after="0" w:line="360" w:lineRule="auto"/>
        <w:jc w:val="both"/>
        <w:rPr>
          <w:rFonts w:ascii="Arial" w:hAnsi="Arial" w:cs="Arial"/>
          <w:b/>
          <w:bCs/>
          <w:sz w:val="20"/>
          <w:szCs w:val="20"/>
        </w:rPr>
      </w:pPr>
      <w:r w:rsidRPr="00575412">
        <w:rPr>
          <w:rFonts w:ascii="Arial" w:hAnsi="Arial" w:cs="Arial"/>
          <w:b/>
          <w:bCs/>
          <w:sz w:val="20"/>
          <w:szCs w:val="20"/>
        </w:rPr>
        <w:t>- AUTOTUTELA</w:t>
      </w:r>
    </w:p>
    <w:p w14:paraId="3D65E538" w14:textId="77777777" w:rsidR="00946DA1" w:rsidRPr="00575412" w:rsidRDefault="00946DA1" w:rsidP="00946DA1">
      <w:pPr>
        <w:spacing w:after="0" w:line="360" w:lineRule="auto"/>
        <w:jc w:val="both"/>
        <w:rPr>
          <w:rFonts w:ascii="Arial" w:hAnsi="Arial" w:cs="Arial"/>
          <w:b/>
          <w:bCs/>
          <w:sz w:val="20"/>
          <w:szCs w:val="20"/>
        </w:rPr>
      </w:pPr>
      <w:r w:rsidRPr="00575412">
        <w:rPr>
          <w:rFonts w:ascii="Arial" w:hAnsi="Arial" w:cs="Arial"/>
          <w:b/>
          <w:bCs/>
          <w:sz w:val="20"/>
          <w:szCs w:val="20"/>
        </w:rPr>
        <w:t xml:space="preserve">A norma </w:t>
      </w:r>
      <w:hyperlink r:id="rId19" w:history="1">
        <w:r w:rsidRPr="00A35C36">
          <w:rPr>
            <w:rStyle w:val="Collegamentoipertestuale"/>
            <w:rFonts w:ascii="Arial" w:hAnsi="Arial" w:cs="Arial"/>
            <w:b/>
            <w:bCs/>
            <w:sz w:val="20"/>
            <w:szCs w:val="20"/>
          </w:rPr>
          <w:t>dell'art. 8 della legge n. 241/90</w:t>
        </w:r>
      </w:hyperlink>
      <w:r w:rsidRPr="00575412">
        <w:rPr>
          <w:rFonts w:ascii="Arial" w:hAnsi="Arial" w:cs="Arial"/>
          <w:b/>
          <w:bCs/>
          <w:sz w:val="20"/>
          <w:szCs w:val="20"/>
        </w:rPr>
        <w:t xml:space="preserve"> e della </w:t>
      </w:r>
      <w:hyperlink r:id="rId20" w:history="1">
        <w:r w:rsidRPr="00A35C36">
          <w:rPr>
            <w:rStyle w:val="Collegamentoipertestuale"/>
            <w:rFonts w:ascii="Arial" w:hAnsi="Arial" w:cs="Arial"/>
            <w:b/>
            <w:bCs/>
            <w:sz w:val="20"/>
            <w:szCs w:val="20"/>
          </w:rPr>
          <w:t>legge n. 212/2000</w:t>
        </w:r>
      </w:hyperlink>
      <w:r w:rsidRPr="00575412">
        <w:rPr>
          <w:rFonts w:ascii="Arial" w:hAnsi="Arial" w:cs="Arial"/>
          <w:b/>
          <w:bCs/>
          <w:sz w:val="20"/>
          <w:szCs w:val="20"/>
        </w:rPr>
        <w:t xml:space="preserve"> così come modificata </w:t>
      </w:r>
      <w:hyperlink r:id="rId21" w:history="1">
        <w:r w:rsidRPr="00A35C36">
          <w:rPr>
            <w:rStyle w:val="Collegamentoipertestuale"/>
            <w:rFonts w:ascii="Arial" w:hAnsi="Arial" w:cs="Arial"/>
            <w:b/>
            <w:bCs/>
            <w:sz w:val="20"/>
            <w:szCs w:val="20"/>
          </w:rPr>
          <w:t xml:space="preserve">dal </w:t>
        </w:r>
        <w:proofErr w:type="spellStart"/>
        <w:r w:rsidRPr="00A35C36">
          <w:rPr>
            <w:rStyle w:val="Collegamentoipertestuale"/>
            <w:rFonts w:ascii="Arial" w:hAnsi="Arial" w:cs="Arial"/>
            <w:b/>
            <w:bCs/>
            <w:sz w:val="20"/>
            <w:szCs w:val="20"/>
          </w:rPr>
          <w:t>D.Lgs</w:t>
        </w:r>
        <w:proofErr w:type="spellEnd"/>
        <w:r w:rsidRPr="00A35C36">
          <w:rPr>
            <w:rStyle w:val="Collegamentoipertestuale"/>
            <w:rFonts w:ascii="Arial" w:hAnsi="Arial" w:cs="Arial"/>
            <w:b/>
            <w:bCs/>
            <w:sz w:val="20"/>
            <w:szCs w:val="20"/>
          </w:rPr>
          <w:t xml:space="preserve"> n. 219 del 30/12/2023</w:t>
        </w:r>
      </w:hyperlink>
      <w:r w:rsidRPr="00575412">
        <w:rPr>
          <w:rFonts w:ascii="Arial" w:hAnsi="Arial" w:cs="Arial"/>
          <w:b/>
          <w:bCs/>
          <w:sz w:val="20"/>
          <w:szCs w:val="20"/>
        </w:rPr>
        <w:t xml:space="preserve"> si rende noto che il responsabile del procedimento è il sottoscritto funzionario nominato con ____ n. ___-del_________, a cui potrà essere richiesto un riesame, anche nel merito dell'atto, in sede di autotutela, tramite e-mail all' indirizzo di posta elettronica: __________________________,  </w:t>
      </w:r>
      <w:proofErr w:type="spellStart"/>
      <w:r w:rsidRPr="00575412">
        <w:rPr>
          <w:rFonts w:ascii="Arial" w:hAnsi="Arial" w:cs="Arial"/>
          <w:b/>
          <w:bCs/>
          <w:sz w:val="20"/>
          <w:szCs w:val="20"/>
        </w:rPr>
        <w:t>Pec</w:t>
      </w:r>
      <w:proofErr w:type="spellEnd"/>
      <w:r w:rsidRPr="00575412">
        <w:rPr>
          <w:rFonts w:ascii="Arial" w:hAnsi="Arial" w:cs="Arial"/>
          <w:b/>
          <w:bCs/>
          <w:sz w:val="20"/>
          <w:szCs w:val="20"/>
        </w:rPr>
        <w:t>: _____________________ o contattando il numero ___________________.</w:t>
      </w:r>
    </w:p>
    <w:p w14:paraId="09176B97" w14:textId="77777777" w:rsidR="00946DA1" w:rsidRPr="00575412" w:rsidRDefault="00946DA1" w:rsidP="00946DA1">
      <w:pPr>
        <w:spacing w:after="0" w:line="360" w:lineRule="auto"/>
        <w:jc w:val="both"/>
        <w:rPr>
          <w:rFonts w:ascii="Arial" w:hAnsi="Arial" w:cs="Arial"/>
          <w:b/>
          <w:bCs/>
          <w:sz w:val="20"/>
          <w:szCs w:val="20"/>
        </w:rPr>
      </w:pPr>
    </w:p>
    <w:p w14:paraId="628735F4" w14:textId="77777777" w:rsidR="00946DA1" w:rsidRPr="00575412" w:rsidRDefault="00946DA1" w:rsidP="00946DA1">
      <w:pPr>
        <w:spacing w:after="0" w:line="360" w:lineRule="auto"/>
        <w:jc w:val="both"/>
        <w:rPr>
          <w:rFonts w:ascii="Arial" w:hAnsi="Arial" w:cs="Arial"/>
          <w:b/>
          <w:bCs/>
          <w:sz w:val="20"/>
          <w:szCs w:val="20"/>
        </w:rPr>
      </w:pPr>
      <w:r w:rsidRPr="00575412">
        <w:rPr>
          <w:rFonts w:ascii="Arial" w:hAnsi="Arial" w:cs="Arial"/>
          <w:b/>
          <w:bCs/>
          <w:sz w:val="20"/>
          <w:szCs w:val="20"/>
        </w:rPr>
        <w:t>AVVERTENZE</w:t>
      </w:r>
    </w:p>
    <w:p w14:paraId="782DB105" w14:textId="77777777" w:rsidR="00946DA1" w:rsidRPr="00575412" w:rsidRDefault="00946DA1" w:rsidP="00946DA1">
      <w:pPr>
        <w:spacing w:after="0" w:line="360" w:lineRule="auto"/>
        <w:jc w:val="both"/>
        <w:rPr>
          <w:rFonts w:ascii="Arial" w:hAnsi="Arial" w:cs="Arial"/>
          <w:b/>
          <w:bCs/>
          <w:sz w:val="20"/>
          <w:szCs w:val="20"/>
        </w:rPr>
      </w:pPr>
      <w:r w:rsidRPr="00575412">
        <w:rPr>
          <w:rFonts w:ascii="Arial" w:hAnsi="Arial" w:cs="Arial"/>
          <w:b/>
          <w:bCs/>
          <w:sz w:val="20"/>
          <w:szCs w:val="20"/>
        </w:rPr>
        <w:t xml:space="preserve">Nel rispetto della </w:t>
      </w:r>
      <w:hyperlink r:id="rId22" w:history="1">
        <w:r w:rsidRPr="00A35C36">
          <w:rPr>
            <w:rStyle w:val="Collegamentoipertestuale"/>
            <w:rFonts w:ascii="Arial" w:hAnsi="Arial" w:cs="Arial"/>
            <w:b/>
            <w:bCs/>
            <w:sz w:val="20"/>
            <w:szCs w:val="20"/>
          </w:rPr>
          <w:t>legge 27 luglio 2000 n. 212</w:t>
        </w:r>
      </w:hyperlink>
      <w:r w:rsidRPr="00575412">
        <w:rPr>
          <w:rFonts w:ascii="Arial" w:hAnsi="Arial" w:cs="Arial"/>
          <w:b/>
          <w:bCs/>
          <w:sz w:val="20"/>
          <w:szCs w:val="20"/>
        </w:rPr>
        <w:t xml:space="preserve"> (Statuto del contribuente) come modificato dal </w:t>
      </w:r>
      <w:hyperlink r:id="rId23" w:history="1">
        <w:r w:rsidRPr="00A35C36">
          <w:rPr>
            <w:rStyle w:val="Collegamentoipertestuale"/>
            <w:rFonts w:ascii="Arial" w:hAnsi="Arial" w:cs="Arial"/>
            <w:b/>
            <w:bCs/>
            <w:sz w:val="20"/>
            <w:szCs w:val="20"/>
          </w:rPr>
          <w:t>Decreto legislativo del 30/12/2023 n. 219</w:t>
        </w:r>
      </w:hyperlink>
      <w:r w:rsidRPr="00575412">
        <w:rPr>
          <w:rFonts w:ascii="Arial" w:hAnsi="Arial" w:cs="Arial"/>
          <w:b/>
          <w:bCs/>
          <w:sz w:val="20"/>
          <w:szCs w:val="20"/>
        </w:rPr>
        <w:t>, si informa che dal 18/01/2024 tutti gli atti autonomamente impugnabili dinanzi agli organi della giustizia tributaria debbano essere preceduti obbligatoriamente da un contraddittorio preventivo.</w:t>
      </w:r>
    </w:p>
    <w:p w14:paraId="0BED15CA" w14:textId="77777777" w:rsidR="00946DA1" w:rsidRPr="00575412" w:rsidRDefault="00946DA1" w:rsidP="00946DA1">
      <w:pPr>
        <w:spacing w:after="0" w:line="360" w:lineRule="auto"/>
        <w:jc w:val="both"/>
        <w:rPr>
          <w:rFonts w:ascii="Arial" w:hAnsi="Arial" w:cs="Arial"/>
          <w:b/>
          <w:bCs/>
          <w:sz w:val="20"/>
          <w:szCs w:val="20"/>
        </w:rPr>
      </w:pPr>
      <w:r w:rsidRPr="00575412">
        <w:rPr>
          <w:rFonts w:ascii="Arial" w:hAnsi="Arial" w:cs="Arial"/>
          <w:b/>
          <w:bCs/>
          <w:sz w:val="20"/>
          <w:szCs w:val="20"/>
        </w:rPr>
        <w:t>Non sussiste tuttavia il diritto al contraddittorio per gli atti automatizzati, sostanzialmente automatizzati, di pronta liquidazione e di controllo formale delle dichiarazioni, nonché per i casi motivati di fondato pericolo per la riscossione.</w:t>
      </w:r>
    </w:p>
    <w:p w14:paraId="21699B5C" w14:textId="77777777" w:rsidR="00946DA1" w:rsidRPr="00575412" w:rsidRDefault="00946DA1" w:rsidP="00946DA1">
      <w:pPr>
        <w:spacing w:after="0" w:line="360" w:lineRule="auto"/>
        <w:jc w:val="both"/>
        <w:rPr>
          <w:rFonts w:ascii="Arial" w:hAnsi="Arial" w:cs="Arial"/>
          <w:b/>
          <w:bCs/>
          <w:sz w:val="20"/>
          <w:szCs w:val="20"/>
        </w:rPr>
      </w:pPr>
      <w:r w:rsidRPr="00575412">
        <w:rPr>
          <w:rFonts w:ascii="Arial" w:hAnsi="Arial" w:cs="Arial"/>
          <w:b/>
          <w:bCs/>
          <w:sz w:val="20"/>
          <w:szCs w:val="20"/>
        </w:rPr>
        <w:t>Il principio del contraddittorio informato non è applicabile nei casi in cui l’avviso di accertamento sia riferito ad una contestazione di omesso, insufficiente o tardivo versamento, e di omessa dichiarazione nei casi in cui i dati non siano acquisibili d’ufficio (atti notarili, atti catastali, successioni).</w:t>
      </w:r>
    </w:p>
    <w:p w14:paraId="6B79DC01" w14:textId="77777777" w:rsidR="00946DA1" w:rsidRPr="00575412" w:rsidRDefault="00946DA1" w:rsidP="00946DA1">
      <w:pPr>
        <w:spacing w:after="0" w:line="360" w:lineRule="auto"/>
        <w:jc w:val="both"/>
        <w:rPr>
          <w:rFonts w:ascii="Arial" w:hAnsi="Arial" w:cs="Arial"/>
          <w:b/>
          <w:bCs/>
          <w:sz w:val="20"/>
          <w:szCs w:val="20"/>
        </w:rPr>
      </w:pPr>
      <w:r w:rsidRPr="00575412">
        <w:rPr>
          <w:rFonts w:ascii="Arial" w:hAnsi="Arial" w:cs="Arial"/>
          <w:b/>
          <w:bCs/>
          <w:sz w:val="20"/>
          <w:szCs w:val="20"/>
        </w:rPr>
        <w:t>Quindi nei casi in cui per definire compiutamente la contestazione siano necessari ed opportuni degli approfondimenti, l'amministrazione comunica al contribuente, con modalità idonee a garantirne la conoscibilità, lo schema di atto predisposto per la notifica, assegnando un termine non inferiore a 60 GG (sessanta giorni) per consentirgli eventuali controdeduzioni ovvero, su richiesta, per accedere ed estrarre copia degli atti del fascicolo.</w:t>
      </w:r>
    </w:p>
    <w:p w14:paraId="3CFA0C6C" w14:textId="77777777" w:rsidR="00946DA1" w:rsidRPr="00575412" w:rsidRDefault="00946DA1" w:rsidP="00946DA1">
      <w:pPr>
        <w:spacing w:after="0" w:line="360" w:lineRule="auto"/>
        <w:jc w:val="both"/>
        <w:rPr>
          <w:rFonts w:ascii="Arial" w:hAnsi="Arial" w:cs="Arial"/>
          <w:b/>
          <w:bCs/>
          <w:sz w:val="20"/>
          <w:szCs w:val="20"/>
        </w:rPr>
      </w:pPr>
      <w:r w:rsidRPr="00575412">
        <w:rPr>
          <w:rFonts w:ascii="Arial" w:hAnsi="Arial" w:cs="Arial"/>
          <w:b/>
          <w:bCs/>
          <w:sz w:val="20"/>
          <w:szCs w:val="20"/>
        </w:rPr>
        <w:t>L'atto adottato all'esito del contraddittorio tiene conto delle osservazioni del contribuente ed è motivato con</w:t>
      </w:r>
    </w:p>
    <w:p w14:paraId="5FBB6107" w14:textId="77777777" w:rsidR="00946DA1" w:rsidRPr="00575412" w:rsidRDefault="00946DA1" w:rsidP="00946DA1">
      <w:pPr>
        <w:spacing w:after="0" w:line="360" w:lineRule="auto"/>
        <w:jc w:val="both"/>
        <w:rPr>
          <w:rFonts w:ascii="Arial" w:hAnsi="Arial" w:cs="Arial"/>
          <w:b/>
          <w:bCs/>
          <w:sz w:val="20"/>
          <w:szCs w:val="20"/>
        </w:rPr>
      </w:pPr>
      <w:r w:rsidRPr="00575412">
        <w:rPr>
          <w:rFonts w:ascii="Arial" w:hAnsi="Arial" w:cs="Arial"/>
          <w:b/>
          <w:bCs/>
          <w:sz w:val="20"/>
          <w:szCs w:val="20"/>
        </w:rPr>
        <w:t>riferimento a quelle che l'Amministrazione ritiene di non accogliere.</w:t>
      </w:r>
    </w:p>
    <w:p w14:paraId="3286228F" w14:textId="77777777" w:rsidR="00946DA1" w:rsidRPr="00575412" w:rsidRDefault="00946DA1" w:rsidP="00946DA1">
      <w:pPr>
        <w:spacing w:after="0" w:line="360" w:lineRule="auto"/>
        <w:jc w:val="both"/>
        <w:rPr>
          <w:rFonts w:ascii="Arial" w:hAnsi="Arial" w:cs="Arial"/>
          <w:b/>
          <w:bCs/>
          <w:sz w:val="20"/>
          <w:szCs w:val="20"/>
        </w:rPr>
      </w:pPr>
      <w:r w:rsidRPr="00575412">
        <w:rPr>
          <w:rFonts w:ascii="Arial" w:hAnsi="Arial" w:cs="Arial"/>
          <w:b/>
          <w:bCs/>
          <w:sz w:val="20"/>
          <w:szCs w:val="20"/>
        </w:rPr>
        <w:t>Un apposito decreto del MEF elencherà gli atti che sono esclusi da tale istituto, fino ad allora non troverà applicazione. Dalla lettura della norma si ritiene che la fattispecie del presente atto non sia comunque soggetta a preventivo contradditorio.</w:t>
      </w:r>
    </w:p>
    <w:p w14:paraId="5EE899B2" w14:textId="77777777" w:rsidR="00946DA1" w:rsidRPr="00575412" w:rsidRDefault="00946DA1" w:rsidP="00946DA1">
      <w:pPr>
        <w:spacing w:after="0" w:line="360" w:lineRule="auto"/>
        <w:jc w:val="both"/>
        <w:rPr>
          <w:rFonts w:ascii="Arial" w:hAnsi="Arial" w:cs="Arial"/>
          <w:b/>
          <w:bCs/>
          <w:sz w:val="20"/>
          <w:szCs w:val="20"/>
        </w:rPr>
      </w:pPr>
    </w:p>
    <w:p w14:paraId="1C5D2206" w14:textId="77777777" w:rsidR="00946DA1" w:rsidRPr="00575412" w:rsidRDefault="00946DA1" w:rsidP="00946DA1">
      <w:pPr>
        <w:spacing w:after="0" w:line="360" w:lineRule="auto"/>
        <w:jc w:val="both"/>
        <w:rPr>
          <w:rFonts w:ascii="Arial" w:hAnsi="Arial" w:cs="Arial"/>
          <w:b/>
          <w:bCs/>
          <w:sz w:val="20"/>
          <w:szCs w:val="20"/>
        </w:rPr>
      </w:pPr>
      <w:r w:rsidRPr="00575412">
        <w:rPr>
          <w:rFonts w:ascii="Arial" w:hAnsi="Arial" w:cs="Arial"/>
          <w:b/>
          <w:bCs/>
          <w:sz w:val="20"/>
          <w:szCs w:val="20"/>
        </w:rPr>
        <w:t>Nota:</w:t>
      </w:r>
    </w:p>
    <w:p w14:paraId="3BEF0A49" w14:textId="77777777" w:rsidR="00946DA1" w:rsidRPr="00575412" w:rsidRDefault="00946DA1" w:rsidP="00946DA1">
      <w:pPr>
        <w:spacing w:after="0" w:line="360" w:lineRule="auto"/>
        <w:jc w:val="both"/>
        <w:rPr>
          <w:rFonts w:ascii="Arial" w:hAnsi="Arial" w:cs="Arial"/>
          <w:b/>
          <w:bCs/>
          <w:sz w:val="20"/>
          <w:szCs w:val="20"/>
        </w:rPr>
      </w:pPr>
      <w:r w:rsidRPr="00575412">
        <w:rPr>
          <w:rFonts w:ascii="Arial" w:hAnsi="Arial" w:cs="Arial"/>
          <w:b/>
          <w:bCs/>
          <w:sz w:val="20"/>
          <w:szCs w:val="20"/>
        </w:rPr>
        <w:t>Eliminare la parte relativa al reclamo/mediazione.</w:t>
      </w:r>
    </w:p>
    <w:p w14:paraId="5C6A5EA5" w14:textId="77777777" w:rsidR="00946DA1" w:rsidRPr="00575412" w:rsidRDefault="00946DA1" w:rsidP="00946DA1">
      <w:pPr>
        <w:spacing w:after="0" w:line="360" w:lineRule="auto"/>
        <w:jc w:val="both"/>
        <w:rPr>
          <w:rFonts w:ascii="Arial" w:hAnsi="Arial" w:cs="Arial"/>
          <w:b/>
          <w:bCs/>
          <w:sz w:val="20"/>
          <w:szCs w:val="20"/>
        </w:rPr>
      </w:pPr>
    </w:p>
    <w:p w14:paraId="3601536F" w14:textId="77777777" w:rsidR="00E863E2" w:rsidRDefault="00E863E2"/>
    <w:sectPr w:rsidR="00E863E2">
      <w:headerReference w:type="even" r:id="rId24"/>
      <w:headerReference w:type="default" r:id="rId25"/>
      <w:footerReference w:type="even" r:id="rId26"/>
      <w:footerReference w:type="default" r:id="rId27"/>
      <w:headerReference w:type="first" r:id="rId28"/>
      <w:footerReference w:type="first" r:id="rId2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E53C3" w14:textId="77777777" w:rsidR="00CE6B40" w:rsidRDefault="00CE6B40" w:rsidP="00D01528">
      <w:pPr>
        <w:spacing w:after="0" w:line="240" w:lineRule="auto"/>
      </w:pPr>
      <w:r>
        <w:separator/>
      </w:r>
    </w:p>
  </w:endnote>
  <w:endnote w:type="continuationSeparator" w:id="0">
    <w:p w14:paraId="59F9A67C" w14:textId="77777777" w:rsidR="00CE6B40" w:rsidRDefault="00CE6B40" w:rsidP="00D01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43E21" w14:textId="77777777" w:rsidR="000E7FC0" w:rsidRDefault="000E7FC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D7F17" w14:textId="77777777" w:rsidR="000E7FC0" w:rsidRDefault="000E7FC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35CCA" w14:textId="77777777" w:rsidR="000E7FC0" w:rsidRDefault="000E7FC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C4F03" w14:textId="77777777" w:rsidR="00CE6B40" w:rsidRDefault="00CE6B40" w:rsidP="00D01528">
      <w:pPr>
        <w:spacing w:after="0" w:line="240" w:lineRule="auto"/>
      </w:pPr>
      <w:r>
        <w:separator/>
      </w:r>
    </w:p>
  </w:footnote>
  <w:footnote w:type="continuationSeparator" w:id="0">
    <w:p w14:paraId="5BA2D9B3" w14:textId="77777777" w:rsidR="00CE6B40" w:rsidRDefault="00CE6B40" w:rsidP="00D01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0BC04" w14:textId="77777777" w:rsidR="000E7FC0" w:rsidRDefault="000E7FC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A3B44" w14:textId="74B591CD" w:rsidR="000E7FC0" w:rsidRDefault="000E7FC0" w:rsidP="000E7FC0">
    <w:pPr>
      <w:pStyle w:val="Intestazione"/>
      <w:jc w:val="center"/>
    </w:pPr>
    <w:r w:rsidRPr="006C3FC8">
      <w:rPr>
        <w:noProof/>
      </w:rPr>
      <w:drawing>
        <wp:inline distT="0" distB="0" distL="0" distR="0" wp14:anchorId="38DCDF88" wp14:editId="0C7840DF">
          <wp:extent cx="1727860" cy="457883"/>
          <wp:effectExtent l="0" t="0" r="5715"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5391" cy="494329"/>
                  </a:xfrm>
                  <a:prstGeom prst="rect">
                    <a:avLst/>
                  </a:prstGeom>
                </pic:spPr>
              </pic:pic>
            </a:graphicData>
          </a:graphic>
        </wp:inline>
      </w:drawing>
    </w:r>
  </w:p>
  <w:p w14:paraId="2CA680ED" w14:textId="183333E3" w:rsidR="00D01528" w:rsidRDefault="00D0152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51E1F" w14:textId="77777777" w:rsidR="000E7FC0" w:rsidRDefault="000E7FC0">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DA1"/>
    <w:rsid w:val="000E7FC0"/>
    <w:rsid w:val="001B1D01"/>
    <w:rsid w:val="00946DA1"/>
    <w:rsid w:val="00C118AC"/>
    <w:rsid w:val="00CE6B40"/>
    <w:rsid w:val="00D01528"/>
    <w:rsid w:val="00E863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E6C10"/>
  <w15:chartTrackingRefBased/>
  <w15:docId w15:val="{500A652F-CE5C-45FC-9F8D-C501667E5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46DA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46DA1"/>
    <w:rPr>
      <w:color w:val="0563C1" w:themeColor="hyperlink"/>
      <w:u w:val="single"/>
    </w:rPr>
  </w:style>
  <w:style w:type="character" w:styleId="Collegamentovisitato">
    <w:name w:val="FollowedHyperlink"/>
    <w:basedOn w:val="Carpredefinitoparagrafo"/>
    <w:uiPriority w:val="99"/>
    <w:semiHidden/>
    <w:unhideWhenUsed/>
    <w:rsid w:val="00946DA1"/>
    <w:rPr>
      <w:color w:val="954F72" w:themeColor="followedHyperlink"/>
      <w:u w:val="single"/>
    </w:rPr>
  </w:style>
  <w:style w:type="paragraph" w:styleId="Intestazione">
    <w:name w:val="header"/>
    <w:basedOn w:val="Normale"/>
    <w:link w:val="IntestazioneCarattere"/>
    <w:uiPriority w:val="99"/>
    <w:unhideWhenUsed/>
    <w:rsid w:val="00D0152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01528"/>
  </w:style>
  <w:style w:type="paragraph" w:styleId="Pidipagina">
    <w:name w:val="footer"/>
    <w:basedOn w:val="Normale"/>
    <w:link w:val="PidipaginaCarattere"/>
    <w:uiPriority w:val="99"/>
    <w:unhideWhenUsed/>
    <w:rsid w:val="00D0152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015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mattiva.it/uri-res/N2Ls?urn:nir:stato:decreto:1992-12-31;546~art19!vig" TargetMode="External"/><Relationship Id="rId13" Type="http://schemas.openxmlformats.org/officeDocument/2006/relationships/hyperlink" Target="https://www.normattiva.it/uri-res/N2Ls?urn:nir:stato:decreto:1992-12-31;546~art7!vig" TargetMode="External"/><Relationship Id="rId18" Type="http://schemas.openxmlformats.org/officeDocument/2006/relationships/hyperlink" Target="https://www.normattiva.it/uri-res/N2Ls?urn:nir:stato:decreto:1992-12-31;546~art17bis!vig"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s://www.normattiva.it/uri-res/N2Ls?urn:nir:stato:decreto:2023-12-30;219!vig" TargetMode="External"/><Relationship Id="rId7" Type="http://schemas.openxmlformats.org/officeDocument/2006/relationships/hyperlink" Target="https://www.normattiva.it/uri-res/N2Ls?urn:nir:stato:decreto:2023-12-30;219!vig" TargetMode="External"/><Relationship Id="rId12" Type="http://schemas.openxmlformats.org/officeDocument/2006/relationships/hyperlink" Target="https://www.normattiva.it/uri-res/N2Ls?urn:nir:stato:decreto:2002-05-30;115!vig" TargetMode="External"/><Relationship Id="rId17" Type="http://schemas.openxmlformats.org/officeDocument/2006/relationships/hyperlink" Target="https://www.normattiva.it/uri-res/N2Ls?urn:nir:stato:decreto:2023-12-30;220!vig" TargetMode="External"/><Relationship Id="rId25"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https://www.normattiva.it/uri-res/N2Ls?urn:nir:stato:decreto:1997-12-18;472~art19!vig" TargetMode="External"/><Relationship Id="rId20" Type="http://schemas.openxmlformats.org/officeDocument/2006/relationships/hyperlink" Target="https://www.normattiva.it/uri-res/N2Ls?urn:nir:stato:legge:2000-07-27;212!vig" TargetMode="External"/><Relationship Id="rId29"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www.normattiva.it/uri-res/N2Ls?urn:nir:stato:legge:2000-07-27;212!vig" TargetMode="External"/><Relationship Id="rId11" Type="http://schemas.openxmlformats.org/officeDocument/2006/relationships/hyperlink" Target="https://www.normattiva.it/uri-res/N2Ls?urn:nir:stato:decreto:1992-12-31;546~art16bis!vig"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www.normattiva.it/uri-res/N2Ls?urn:nir:stato:decreto:2013-12-23;163!vig" TargetMode="External"/><Relationship Id="rId23" Type="http://schemas.openxmlformats.org/officeDocument/2006/relationships/hyperlink" Target="https://www.normattiva.it/uri-res/N2Ls?urn:nir:stato:decreto:2023-12-30;219!vig" TargetMode="External"/><Relationship Id="rId28" Type="http://schemas.openxmlformats.org/officeDocument/2006/relationships/header" Target="header3.xml"/><Relationship Id="rId10" Type="http://schemas.openxmlformats.org/officeDocument/2006/relationships/hyperlink" Target="https://www.normattiva.it/uri-res/N2Ls?urn:nir:stato:decreto:1992-12-31;546~art18!vig" TargetMode="External"/><Relationship Id="rId19" Type="http://schemas.openxmlformats.org/officeDocument/2006/relationships/hyperlink" Target="https://www.normattiva.it/uri-res/N2Ls?urn:nir:stato:legge:2000-08-07;241~art8!vig"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normattiva.it/uri-res/N2Ls?urn:nir:stato:decreto:1992-12-31;546~art20!vig" TargetMode="External"/><Relationship Id="rId14" Type="http://schemas.openxmlformats.org/officeDocument/2006/relationships/hyperlink" Target="https://www.normattiva.it/uri-res/N2Ls?urn:nir:stato:decreto:1992-12-31;546~art16bis!vig" TargetMode="External"/><Relationship Id="rId22" Type="http://schemas.openxmlformats.org/officeDocument/2006/relationships/hyperlink" Target="https://www.normattiva.it/uri-res/N2Ls?urn:nir:stato:legge:2000-07-27;212!vig"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1107</Words>
  <Characters>6315</Characters>
  <Application>Microsoft Office Word</Application>
  <DocSecurity>0</DocSecurity>
  <Lines>52</Lines>
  <Paragraphs>14</Paragraphs>
  <ScaleCrop>false</ScaleCrop>
  <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2024-02-05T08:48:00Z</dcterms:created>
  <dcterms:modified xsi:type="dcterms:W3CDTF">2024-02-05T08:53:00Z</dcterms:modified>
</cp:coreProperties>
</file>