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7A" w:rsidRPr="006356DC" w:rsidRDefault="0098407A" w:rsidP="0098407A">
      <w:pPr>
        <w:tabs>
          <w:tab w:val="left" w:pos="284"/>
        </w:tabs>
        <w:ind w:right="-285"/>
        <w:jc w:val="both"/>
      </w:pPr>
      <w:r>
        <w:t xml:space="preserve">3.3 </w:t>
      </w:r>
      <w:bookmarkStart w:id="0" w:name="_GoBack"/>
      <w:bookmarkEnd w:id="0"/>
      <w:r w:rsidRPr="006356DC">
        <w:t>Sono accertate per l’intero importo del credito anche le entrate di dubbia e difficile esazione, per le quali non è certa la riscossione integrale, quali le sanzioni amministrative al codice della strada, gli oneri di urbanizzazione, i proventi derivanti dalla lotta all’evasione, ecc..</w:t>
      </w:r>
    </w:p>
    <w:p w:rsidR="0098407A" w:rsidRPr="006356DC" w:rsidRDefault="0098407A" w:rsidP="0098407A">
      <w:pPr>
        <w:tabs>
          <w:tab w:val="left" w:pos="426"/>
        </w:tabs>
        <w:ind w:right="-285"/>
        <w:jc w:val="both"/>
        <w:rPr>
          <w:b/>
          <w:i/>
        </w:rPr>
      </w:pPr>
      <w:r w:rsidRPr="006356DC">
        <w:rPr>
          <w:i/>
        </w:rPr>
        <w:t xml:space="preserve">Le entrate che negli esercizi precedenti a quello di entrata in vigore del presente principio applicato sono state accertate “per cassa”, </w:t>
      </w:r>
      <w:r w:rsidRPr="006356DC">
        <w:rPr>
          <w:rStyle w:val="Enfasigrassetto"/>
          <w:b w:val="0"/>
          <w:i/>
        </w:rPr>
        <w:t>devono continuare ad essere accertate per cassa fino al loro esaurimento</w:t>
      </w:r>
      <w:r w:rsidRPr="006356DC">
        <w:rPr>
          <w:i/>
        </w:rPr>
        <w:t xml:space="preserve">. Pertanto, il principio della competenza finanziaria cd. potenziato, che prevede che le entrate debbano essere accertate e imputate contabilmente all’esercizio in cui è emesso il ruolo ed effettuato un accantonamento al fondo crediti di dubbia esigibilità, vincolando a tal fine una quota dell’avanzo di amministrazione, </w:t>
      </w:r>
      <w:r w:rsidRPr="006356DC">
        <w:rPr>
          <w:rStyle w:val="Enfasigrassetto"/>
          <w:b w:val="0"/>
          <w:i/>
        </w:rPr>
        <w:t>è applicato per i ruoli emessi a decorrere dall’entrata in vigore del presente principio applicato. Anche i ruoli coattivi, relativi a ruoli emessi negli esercizi precedenti a quello di entrata in vigore del presente principio, devono continuare ad essere accertati per cassa fino al loro esaurimento</w:t>
      </w:r>
      <w:r w:rsidRPr="006356DC">
        <w:rPr>
          <w:i/>
        </w:rPr>
        <w:t>. Tuttavia, ai fini di una effettiva trasparenza contabile, si ritiene opportuno indicare tali crediti, al netto del fondo crediti di dubbia  esigibilità, tra le Immobilizzazioni o nell’Attivo circolante (a seconda della scadenza del credito) dello stato patrimoniale iniziale del primo anno di adozione della contabilità economico-patrimoniale con il principio della contabilità finanziaria potenziato.</w:t>
      </w:r>
    </w:p>
    <w:p w:rsidR="009E2BF7" w:rsidRDefault="009E2BF7"/>
    <w:sectPr w:rsidR="009E2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047C"/>
    <w:multiLevelType w:val="multilevel"/>
    <w:tmpl w:val="97587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390"/>
      </w:pPr>
      <w:rPr>
        <w:rFonts w:hint="default"/>
        <w:i w:val="0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7A"/>
    <w:rsid w:val="000C7608"/>
    <w:rsid w:val="000F6B77"/>
    <w:rsid w:val="0098407A"/>
    <w:rsid w:val="009E0BC5"/>
    <w:rsid w:val="009E2BF7"/>
    <w:rsid w:val="00B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984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98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2022-05-30T08:17:00Z</dcterms:created>
  <dcterms:modified xsi:type="dcterms:W3CDTF">2022-05-30T08:18:00Z</dcterms:modified>
</cp:coreProperties>
</file>