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C8" w:rsidRPr="00ED7AC8" w:rsidRDefault="00ED7AC8" w:rsidP="00ED7AC8">
      <w:pPr>
        <w:jc w:val="center"/>
        <w:rPr>
          <w:b/>
          <w:kern w:val="36"/>
          <w:lang w:eastAsia="it-IT"/>
        </w:rPr>
      </w:pPr>
      <w:r w:rsidRPr="00ED7AC8">
        <w:rPr>
          <w:b/>
          <w:kern w:val="36"/>
          <w:lang w:eastAsia="it-IT"/>
        </w:rPr>
        <w:t>Ministero dell’Ambiente</w:t>
      </w:r>
    </w:p>
    <w:p w:rsidR="00ED7AC8" w:rsidRPr="00ED7AC8" w:rsidRDefault="00ED7AC8" w:rsidP="00ED7AC8">
      <w:pPr>
        <w:rPr>
          <w:b/>
          <w:kern w:val="36"/>
          <w:lang w:eastAsia="it-IT"/>
        </w:rPr>
      </w:pPr>
      <w:r w:rsidRPr="00ED7AC8">
        <w:rPr>
          <w:b/>
          <w:kern w:val="36"/>
          <w:lang w:eastAsia="it-IT"/>
        </w:rPr>
        <w:t>Energia: arrivano nuovi criteri ambientali per illuminazione pubblica</w:t>
      </w:r>
    </w:p>
    <w:p w:rsidR="00ED7AC8" w:rsidRPr="00ED7AC8" w:rsidRDefault="00ED7AC8" w:rsidP="00ED7AC8">
      <w:pPr>
        <w:spacing w:line="240" w:lineRule="auto"/>
        <w:rPr>
          <w:rFonts w:ascii="Lato" w:eastAsia="Times New Roman" w:hAnsi="Lato" w:cs="Helvetica"/>
          <w:i/>
          <w:iCs/>
          <w:color w:val="777777"/>
          <w:sz w:val="21"/>
          <w:szCs w:val="21"/>
          <w:lang w:eastAsia="it-IT"/>
        </w:rPr>
      </w:pPr>
      <w:r w:rsidRPr="00ED7AC8">
        <w:rPr>
          <w:rFonts w:ascii="Lato" w:eastAsia="Times New Roman" w:hAnsi="Lato" w:cs="Helvetica"/>
          <w:i/>
          <w:iCs/>
          <w:color w:val="777777"/>
          <w:sz w:val="21"/>
          <w:szCs w:val="21"/>
          <w:lang w:eastAsia="it-IT"/>
        </w:rPr>
        <w:t xml:space="preserve">Inviato da </w:t>
      </w:r>
      <w:proofErr w:type="spellStart"/>
      <w:r w:rsidRPr="00ED7AC8">
        <w:rPr>
          <w:rFonts w:ascii="Lato" w:eastAsia="Times New Roman" w:hAnsi="Lato" w:cs="Helvetica"/>
          <w:i/>
          <w:iCs/>
          <w:color w:val="777777"/>
          <w:sz w:val="21"/>
          <w:lang w:eastAsia="it-IT"/>
        </w:rPr>
        <w:t>illomei.piergiorgio</w:t>
      </w:r>
      <w:proofErr w:type="spellEnd"/>
      <w:r w:rsidRPr="00ED7AC8">
        <w:rPr>
          <w:rFonts w:ascii="Lato" w:eastAsia="Times New Roman" w:hAnsi="Lato" w:cs="Helvetica"/>
          <w:i/>
          <w:iCs/>
          <w:color w:val="777777"/>
          <w:sz w:val="21"/>
          <w:szCs w:val="21"/>
          <w:lang w:eastAsia="it-IT"/>
        </w:rPr>
        <w:t xml:space="preserve"> il Mar, 10/03/2017 - 14:55 </w:t>
      </w:r>
    </w:p>
    <w:p w:rsidR="00ED7AC8" w:rsidRPr="00ED7AC8" w:rsidRDefault="00ED7AC8" w:rsidP="00ED7AC8">
      <w:pPr>
        <w:spacing w:after="15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ED7AC8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>Decreto ministro Galletti fissa nuovi “</w:t>
      </w:r>
      <w:proofErr w:type="spellStart"/>
      <w:r w:rsidRPr="00ED7AC8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>Cam</w:t>
      </w:r>
      <w:proofErr w:type="spellEnd"/>
      <w:r w:rsidRPr="00ED7AC8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>” per lampade, Led, gruppi ottici, progettazione impianti. “Grandi benefici per efficienza e bilanci amministrazioni”. Testo affronta anche aspetti etici e sociali a difesa lavoratori e contro concorrenza sleale</w:t>
      </w:r>
    </w:p>
    <w:p w:rsidR="00ED7AC8" w:rsidRPr="00ED7AC8" w:rsidRDefault="00ED7AC8" w:rsidP="00ED7AC8">
      <w:pPr>
        <w:spacing w:after="15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ED7AC8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Roma, 3 </w:t>
      </w:r>
      <w:proofErr w:type="spellStart"/>
      <w:r w:rsidRPr="00ED7AC8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>ott</w:t>
      </w:r>
      <w:proofErr w:type="spellEnd"/>
      <w:r w:rsidRPr="00ED7AC8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 xml:space="preserve"> – Una migliore qualità della luce in città con un minore impatto sui cittadini. E’ l’obiettivo del decreto del Ministro dell’Ambiente Gian Luca Galletti, che aggiorna i Criteri Ambientali Minimi (CAM) sull’efficienza nelle sorgenti luminose come lampade e LED, per apparecchiature come gruppi ottici e alimentatori, oltre che per l’affidamento del servizio di progettazione dell’impianto di illuminazione pubblica. “Il rapido avanzamento tecnologico – spiega il ministro Galletti – ci consente oggi di fissare performance ambientale più elevate rispetto a pochi anni fa, che possono portare non solo grandi benefici in termini di efficienza energetica e di riduzione dell’inquinamento, ma anche di risparmio per le casse delle amministrazioni. E’ una novità – spiega Galletti - che acquisisce ancor più importanza a seguito dell’approvazione recente del nuovo Codice degli appalti, che rende obbligatoria l’applicazione di questi criteri”.</w:t>
      </w:r>
    </w:p>
    <w:p w:rsidR="00ED7AC8" w:rsidRPr="00ED7AC8" w:rsidRDefault="00ED7AC8" w:rsidP="00ED7AC8">
      <w:pPr>
        <w:spacing w:after="15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ED7AC8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>Il decreto affronta principalmente tre ambiti: l’innalzamento delle prestazioni richieste in tema di efficienza energetica, durata e affidabilità degli impianti, un approfondimento dei temi riguardanti l’inquinamento luminoso, il tema degli aspetti sociali connessi agli appalti pubblici. Le modifiche ai CAM riguardano l’efficienza energetica, la durabilità e il tasso di guasto di tutti i corpi illuminanti, ma anche le prestazioni degli apparati attraverso l’aggiornamento di due indici.  Le prestazioni richieste sono differenziate a seconda delle aree da illuminare, per adattarsi a ogni tipo di esigenza. E’ stato stimato che la sostituzione di tutti i vecchi impianti di illuminazione pubblica porterebbe un possibile risparmio economico di circa 500 milioni di euro l’anno per gli enti locali, nonché una riduzione consistente dei consumi energetici e delle emissioni di gas serra.</w:t>
      </w:r>
    </w:p>
    <w:p w:rsidR="00ED7AC8" w:rsidRPr="00ED7AC8" w:rsidRDefault="00ED7AC8" w:rsidP="00ED7AC8">
      <w:pPr>
        <w:spacing w:after="15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ED7AC8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>L’aspetto dell’inquinamento luminoso è stato invece affrontato attraverso una dettagliata “zonizzazione” delle aree da illuminare, precisando per ogni area il livello massimo di diffusione verso l’alto della luce. I nuovi criteri ambientali affrontano inoltre gli aspetti sociali degli ‘appalti verdi’, vigilando che i candidati dimostrino di adottare modelli organizzativi e gestionali in grado di prevenire comportamenti illeciti nei confronti dei lavoratori e garantire il massimo rispetto delle convenzioni internazionali. Un processo per renderli “appalti sostenibili”, secondo i principi etici fissati nelle principali convenzioni ONU sui diritti dei lavoratori, difendendo i produttori nazionali da una concorrenza basata spesso basata sul mancato rispetto di condizioni di lavoro dignitose.</w:t>
      </w:r>
    </w:p>
    <w:p w:rsidR="00ED7AC8" w:rsidRPr="00ED7AC8" w:rsidRDefault="00ED7AC8" w:rsidP="00ED7AC8">
      <w:pPr>
        <w:spacing w:after="150" w:line="240" w:lineRule="auto"/>
        <w:rPr>
          <w:rFonts w:ascii="Lato" w:eastAsia="Times New Roman" w:hAnsi="Lato" w:cs="Helvetica"/>
          <w:color w:val="333333"/>
          <w:sz w:val="21"/>
          <w:szCs w:val="21"/>
          <w:lang w:eastAsia="it-IT"/>
        </w:rPr>
      </w:pPr>
      <w:r w:rsidRPr="00ED7AC8">
        <w:rPr>
          <w:rFonts w:ascii="Lato" w:eastAsia="Times New Roman" w:hAnsi="Lato" w:cs="Helvetica"/>
          <w:color w:val="333333"/>
          <w:sz w:val="21"/>
          <w:szCs w:val="21"/>
          <w:lang w:eastAsia="it-IT"/>
        </w:rPr>
        <w:t>Entro fine anno sarà poi pronta la scheda che aggiorna i Criteri del servizio di gestione degli impianti di illuminazione pubblica, con l’obiettivo di migliorare gli aspetti gestionali, fare una migliore manutenzione e gestione degli apparati dismessi attraverso un loro recupero, in un maggiore coordinamento con le altre attività di manutenzione e gestione delle aree urbane.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7AC8"/>
    <w:rsid w:val="00494225"/>
    <w:rsid w:val="00761770"/>
    <w:rsid w:val="009E581F"/>
    <w:rsid w:val="00B2657D"/>
    <w:rsid w:val="00ED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ED7AC8"/>
    <w:pPr>
      <w:spacing w:before="300" w:after="150" w:line="240" w:lineRule="auto"/>
      <w:outlineLvl w:val="0"/>
    </w:pPr>
    <w:rPr>
      <w:rFonts w:ascii="Lato" w:eastAsia="Times New Roman" w:hAnsi="Lato" w:cs="Times New Roman"/>
      <w:caps/>
      <w:kern w:val="36"/>
      <w:sz w:val="52"/>
      <w:szCs w:val="5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7AC8"/>
    <w:rPr>
      <w:rFonts w:ascii="Lato" w:eastAsia="Times New Roman" w:hAnsi="Lato" w:cs="Times New Roman"/>
      <w:caps/>
      <w:kern w:val="36"/>
      <w:sz w:val="52"/>
      <w:szCs w:val="5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D7AC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sername">
    <w:name w:val="username"/>
    <w:basedOn w:val="Carpredefinitoparagrafo"/>
    <w:rsid w:val="00ED7A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8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80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2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3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52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2017-10-03T14:29:00Z</dcterms:created>
  <dcterms:modified xsi:type="dcterms:W3CDTF">2017-10-03T14:29:00Z</dcterms:modified>
</cp:coreProperties>
</file>