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91DC" w14:textId="46157B9C" w:rsidR="00575C1E" w:rsidRDefault="00BF3BCD">
      <w:pPr>
        <w:pStyle w:val="Text"/>
        <w:rPr>
          <w:sz w:val="22"/>
          <w:szCs w:val="22"/>
        </w:rPr>
      </w:pPr>
      <w:r>
        <w:rPr>
          <w:b/>
          <w:bCs/>
          <w:sz w:val="22"/>
          <w:szCs w:val="22"/>
        </w:rPr>
        <w:t xml:space="preserve">Servizio di </w:t>
      </w:r>
      <w:proofErr w:type="gramStart"/>
      <w:r>
        <w:rPr>
          <w:b/>
          <w:bCs/>
          <w:sz w:val="22"/>
          <w:szCs w:val="22"/>
        </w:rPr>
        <w:t>gestione  rifiuti</w:t>
      </w:r>
      <w:proofErr w:type="gramEnd"/>
      <w:r>
        <w:rPr>
          <w:b/>
          <w:bCs/>
          <w:sz w:val="22"/>
          <w:szCs w:val="22"/>
        </w:rPr>
        <w:t xml:space="preserve"> urbani - Approvazione Piano Economico Finanziario trasmesso da ATO e della tariffa TARI per l'anno </w:t>
      </w:r>
      <w:r w:rsidR="0055590B">
        <w:rPr>
          <w:b/>
          <w:bCs/>
          <w:sz w:val="22"/>
          <w:szCs w:val="22"/>
        </w:rPr>
        <w:t>2021</w:t>
      </w:r>
      <w:r>
        <w:rPr>
          <w:sz w:val="22"/>
          <w:szCs w:val="22"/>
        </w:rPr>
        <w:t>.</w:t>
      </w:r>
    </w:p>
    <w:p w14:paraId="784C91DD" w14:textId="77777777" w:rsidR="00575C1E" w:rsidRDefault="00575C1E">
      <w:pPr>
        <w:pStyle w:val="Text"/>
        <w:rPr>
          <w:sz w:val="22"/>
          <w:szCs w:val="22"/>
        </w:rPr>
      </w:pPr>
    </w:p>
    <w:p w14:paraId="784C91DE" w14:textId="77777777" w:rsidR="00575C1E" w:rsidRDefault="00575C1E">
      <w:pPr>
        <w:pStyle w:val="Text"/>
        <w:jc w:val="both"/>
      </w:pPr>
    </w:p>
    <w:p w14:paraId="784C91DF" w14:textId="77777777" w:rsidR="00575C1E" w:rsidRDefault="00BF3BCD">
      <w:pPr>
        <w:pStyle w:val="Standard"/>
        <w:autoSpaceDE w:val="0"/>
        <w:jc w:val="center"/>
        <w:rPr>
          <w:sz w:val="22"/>
        </w:rPr>
      </w:pPr>
      <w:r>
        <w:rPr>
          <w:sz w:val="22"/>
        </w:rPr>
        <w:t>IL CONSIGLIO COMUNALE</w:t>
      </w:r>
    </w:p>
    <w:p w14:paraId="784C91E0" w14:textId="77777777" w:rsidR="00575C1E" w:rsidRDefault="00575C1E">
      <w:pPr>
        <w:pStyle w:val="Standard"/>
        <w:autoSpaceDE w:val="0"/>
        <w:jc w:val="both"/>
        <w:rPr>
          <w:sz w:val="22"/>
        </w:rPr>
      </w:pPr>
    </w:p>
    <w:p w14:paraId="784C91E1" w14:textId="77777777" w:rsidR="00575C1E" w:rsidRPr="00926607" w:rsidRDefault="00BF3BCD" w:rsidP="00926607">
      <w:pPr>
        <w:pStyle w:val="Standard"/>
        <w:autoSpaceDE w:val="0"/>
        <w:spacing w:line="360" w:lineRule="auto"/>
        <w:jc w:val="both"/>
        <w:rPr>
          <w:rFonts w:cs="Times New Roman"/>
          <w:sz w:val="22"/>
          <w:szCs w:val="22"/>
        </w:rPr>
      </w:pPr>
      <w:r w:rsidRPr="00926607">
        <w:rPr>
          <w:rFonts w:cs="Times New Roman"/>
          <w:sz w:val="22"/>
          <w:szCs w:val="22"/>
        </w:rPr>
        <w:t>Premesso:</w:t>
      </w:r>
    </w:p>
    <w:p w14:paraId="784C91E2" w14:textId="77777777" w:rsidR="00575C1E" w:rsidRPr="00926607" w:rsidRDefault="00575C1E" w:rsidP="00926607">
      <w:pPr>
        <w:pStyle w:val="Standard"/>
        <w:autoSpaceDE w:val="0"/>
        <w:spacing w:line="360" w:lineRule="auto"/>
        <w:jc w:val="both"/>
        <w:rPr>
          <w:rFonts w:cs="Times New Roman"/>
          <w:sz w:val="22"/>
          <w:szCs w:val="22"/>
        </w:rPr>
      </w:pPr>
    </w:p>
    <w:p w14:paraId="784C91E3" w14:textId="6D2194A5" w:rsidR="00575C1E" w:rsidRPr="00926607" w:rsidRDefault="00BF3BCD" w:rsidP="00926607">
      <w:pPr>
        <w:pStyle w:val="Standard"/>
        <w:autoSpaceDE w:val="0"/>
        <w:spacing w:line="360" w:lineRule="auto"/>
        <w:jc w:val="both"/>
        <w:rPr>
          <w:rFonts w:cs="Times New Roman"/>
          <w:sz w:val="22"/>
          <w:szCs w:val="22"/>
        </w:rPr>
      </w:pPr>
      <w:r w:rsidRPr="00926607">
        <w:rPr>
          <w:rFonts w:cs="Times New Roman"/>
          <w:sz w:val="22"/>
          <w:szCs w:val="22"/>
        </w:rPr>
        <w:t xml:space="preserve">- che </w:t>
      </w:r>
      <w:hyperlink r:id="rId7" w:history="1">
        <w:r w:rsidRPr="00926607">
          <w:rPr>
            <w:rFonts w:cs="Times New Roman"/>
            <w:szCs w:val="22"/>
          </w:rPr>
          <w:t xml:space="preserve">l’art. 1  della  </w:t>
        </w:r>
        <w:r w:rsidRPr="00926607">
          <w:rPr>
            <w:rFonts w:cs="Times New Roman"/>
            <w:szCs w:val="22"/>
          </w:rPr>
          <w:t>L</w:t>
        </w:r>
        <w:r w:rsidRPr="00926607">
          <w:rPr>
            <w:rFonts w:cs="Times New Roman"/>
            <w:szCs w:val="22"/>
          </w:rPr>
          <w:t>. n. 147/13</w:t>
        </w:r>
      </w:hyperlink>
      <w:r w:rsidRPr="00926607">
        <w:rPr>
          <w:rFonts w:cs="Times New Roman"/>
          <w:sz w:val="22"/>
          <w:szCs w:val="22"/>
        </w:rPr>
        <w:t xml:space="preserve"> “Disposizioni per la formazione del bilancio annuale e pluriennale dello Stato (Legge di stabilità 2014)”, disciplina, tra l’altro,  la “tassa sui rifiuti (TARI), destinata a finanziare i costi  del  servizio  di raccolta e smaltimento dei rifiuti, a carico dell'utilizzatore”;</w:t>
      </w:r>
    </w:p>
    <w:p w14:paraId="1345B02E" w14:textId="1AF56F90" w:rsidR="00D537A6" w:rsidRPr="00926607" w:rsidRDefault="00295DC1" w:rsidP="00926607">
      <w:pPr>
        <w:widowControl/>
        <w:numPr>
          <w:ilvl w:val="0"/>
          <w:numId w:val="3"/>
        </w:numPr>
        <w:suppressAutoHyphens w:val="0"/>
        <w:autoSpaceDN/>
        <w:spacing w:line="360" w:lineRule="auto"/>
        <w:jc w:val="both"/>
        <w:textAlignment w:val="auto"/>
        <w:rPr>
          <w:rFonts w:cs="Times New Roman"/>
          <w:sz w:val="22"/>
          <w:szCs w:val="22"/>
        </w:rPr>
      </w:pPr>
      <w:hyperlink r:id="rId8" w:history="1">
        <w:r w:rsidR="00D537A6" w:rsidRPr="00295DC1">
          <w:rPr>
            <w:rStyle w:val="Collegamentoipertestuale"/>
            <w:rFonts w:cs="Times New Roman"/>
            <w:sz w:val="22"/>
            <w:szCs w:val="22"/>
          </w:rPr>
          <w:t>l’art. 1, comma 527, della Legge 205/2017</w:t>
        </w:r>
      </w:hyperlink>
      <w:r w:rsidR="00D537A6" w:rsidRPr="00926607">
        <w:rPr>
          <w:rFonts w:cs="Times New Roman"/>
          <w:sz w:val="22"/>
          <w:szCs w:val="22"/>
        </w:rPr>
        <w:t xml:space="preserve"> che assegna all’Autorità di regolazione per l’energia, reti ed Ambiente (ARERA) le funzioni di regolazione e controllo in materia di rifiuti urbani ed assimilati, tra le quali specificamente:</w:t>
      </w:r>
    </w:p>
    <w:p w14:paraId="73848CC1" w14:textId="77777777" w:rsidR="00D537A6" w:rsidRPr="00926607" w:rsidRDefault="00D537A6" w:rsidP="00926607">
      <w:pPr>
        <w:widowControl/>
        <w:numPr>
          <w:ilvl w:val="1"/>
          <w:numId w:val="3"/>
        </w:numPr>
        <w:suppressAutoHyphens w:val="0"/>
        <w:autoSpaceDN/>
        <w:spacing w:line="360" w:lineRule="auto"/>
        <w:jc w:val="both"/>
        <w:textAlignment w:val="auto"/>
        <w:rPr>
          <w:rFonts w:cs="Times New Roman"/>
          <w:sz w:val="22"/>
          <w:szCs w:val="22"/>
        </w:rPr>
      </w:pPr>
      <w:r w:rsidRPr="00926607">
        <w:rPr>
          <w:rFonts w:cs="Times New Roman"/>
          <w:sz w:val="22"/>
          <w:szCs w:val="22"/>
        </w:rPr>
        <w:t>“… predisposizione ed aggiornamento del metodo tariffario per la determinazione dei corrispettivi del servizio integrato dei rifiuti e dei singoli servizi che costituiscono attività di gestione, a copertura dei costi di esercizio e di investimento, compresa la remunerazione dei capitali, sulla base della valutazione dei costi efficienti e del principio ‘chi inquina paga …” (lett. f);</w:t>
      </w:r>
    </w:p>
    <w:p w14:paraId="3F18C339" w14:textId="77777777" w:rsidR="00D537A6" w:rsidRPr="00926607" w:rsidRDefault="00D537A6" w:rsidP="00926607">
      <w:pPr>
        <w:widowControl/>
        <w:numPr>
          <w:ilvl w:val="1"/>
          <w:numId w:val="3"/>
        </w:numPr>
        <w:suppressAutoHyphens w:val="0"/>
        <w:autoSpaceDN/>
        <w:spacing w:line="360" w:lineRule="auto"/>
        <w:jc w:val="both"/>
        <w:textAlignment w:val="auto"/>
        <w:rPr>
          <w:rFonts w:cs="Times New Roman"/>
          <w:sz w:val="22"/>
          <w:szCs w:val="22"/>
        </w:rPr>
      </w:pPr>
      <w:r w:rsidRPr="00926607">
        <w:rPr>
          <w:rFonts w:cs="Times New Roman"/>
          <w:sz w:val="22"/>
          <w:szCs w:val="22"/>
        </w:rPr>
        <w:t>“… approvazione delle tariffe definite, ai sensi della legislazione vigente, dall’ente di governo dell’ambito territoriale ottimale per il servizio integrato e dai gestori degli impianti di trattamento …” (lett. h);</w:t>
      </w:r>
    </w:p>
    <w:p w14:paraId="340625F8" w14:textId="77777777" w:rsidR="00D537A6" w:rsidRPr="00926607" w:rsidRDefault="00D537A6" w:rsidP="00926607">
      <w:pPr>
        <w:widowControl/>
        <w:numPr>
          <w:ilvl w:val="1"/>
          <w:numId w:val="3"/>
        </w:numPr>
        <w:suppressAutoHyphens w:val="0"/>
        <w:autoSpaceDN/>
        <w:spacing w:line="360" w:lineRule="auto"/>
        <w:jc w:val="both"/>
        <w:textAlignment w:val="auto"/>
        <w:rPr>
          <w:rFonts w:cs="Times New Roman"/>
          <w:sz w:val="22"/>
          <w:szCs w:val="22"/>
        </w:rPr>
      </w:pPr>
      <w:r w:rsidRPr="00926607">
        <w:rPr>
          <w:rFonts w:cs="Times New Roman"/>
          <w:sz w:val="22"/>
          <w:szCs w:val="22"/>
        </w:rPr>
        <w:t>“… verifica della corretta redazione dei piani di ambito esprimendo osservazioni e rilievi …”;</w:t>
      </w:r>
    </w:p>
    <w:p w14:paraId="3CDD5D00" w14:textId="3BEEF2EF" w:rsidR="00D537A6" w:rsidRPr="00926607" w:rsidRDefault="004F0332" w:rsidP="004F0332">
      <w:pPr>
        <w:spacing w:line="360" w:lineRule="auto"/>
        <w:jc w:val="both"/>
        <w:rPr>
          <w:rFonts w:cs="Times New Roman"/>
          <w:sz w:val="22"/>
          <w:szCs w:val="22"/>
        </w:rPr>
      </w:pPr>
      <w:r w:rsidRPr="004F0332">
        <w:rPr>
          <w:rFonts w:cs="Times New Roman"/>
          <w:sz w:val="22"/>
          <w:szCs w:val="22"/>
        </w:rPr>
        <w:t>Richiamat</w:t>
      </w:r>
      <w:r>
        <w:rPr>
          <w:rFonts w:cs="Times New Roman"/>
          <w:sz w:val="22"/>
          <w:szCs w:val="22"/>
        </w:rPr>
        <w:t xml:space="preserve">a </w:t>
      </w:r>
      <w:r w:rsidRPr="007F61CF">
        <w:rPr>
          <w:rFonts w:cs="Times New Roman"/>
          <w:sz w:val="22"/>
          <w:szCs w:val="22"/>
        </w:rPr>
        <w:t>la deliberazione dell’ARERA del 31 ottobre 2019 n. 443/2019/R/</w:t>
      </w:r>
      <w:proofErr w:type="spellStart"/>
      <w:r w:rsidRPr="007F61CF">
        <w:rPr>
          <w:rFonts w:cs="Times New Roman"/>
          <w:sz w:val="22"/>
          <w:szCs w:val="22"/>
        </w:rPr>
        <w:t>rif</w:t>
      </w:r>
      <w:proofErr w:type="spellEnd"/>
      <w:r w:rsidRPr="007F61CF">
        <w:rPr>
          <w:rFonts w:cs="Times New Roman"/>
          <w:sz w:val="22"/>
          <w:szCs w:val="22"/>
        </w:rPr>
        <w:t xml:space="preserve"> “Definizione dei criteri di riconoscimento dei costi efficienti di esercizio e di investimento del servizio integrato dei rifiuti, per il periodo 2018-2021” che approva il “Metodo Tariffario per il servizio integrato di gestione dei Rifiuti” (MTR)</w:t>
      </w:r>
      <w:r>
        <w:rPr>
          <w:rFonts w:cs="Times New Roman"/>
          <w:sz w:val="22"/>
          <w:szCs w:val="22"/>
        </w:rPr>
        <w:t xml:space="preserve">, nonché </w:t>
      </w:r>
      <w:r w:rsidR="0024435A">
        <w:rPr>
          <w:rFonts w:cs="Times New Roman"/>
          <w:sz w:val="22"/>
          <w:szCs w:val="22"/>
        </w:rPr>
        <w:t>le successive modifiche ed integrazioni</w:t>
      </w:r>
      <w:r w:rsidRPr="007F61CF">
        <w:rPr>
          <w:rFonts w:cs="Times New Roman"/>
          <w:sz w:val="22"/>
          <w:szCs w:val="22"/>
        </w:rPr>
        <w:t>;</w:t>
      </w:r>
    </w:p>
    <w:p w14:paraId="784C91E4" w14:textId="52310BD8" w:rsidR="00575C1E" w:rsidRPr="00926607" w:rsidRDefault="00BF3BCD" w:rsidP="00926607">
      <w:pPr>
        <w:pStyle w:val="Standard"/>
        <w:autoSpaceDE w:val="0"/>
        <w:spacing w:line="360" w:lineRule="auto"/>
        <w:jc w:val="both"/>
        <w:rPr>
          <w:rFonts w:cs="Times New Roman"/>
          <w:sz w:val="22"/>
          <w:szCs w:val="22"/>
        </w:rPr>
      </w:pPr>
      <w:r w:rsidRPr="00926607">
        <w:rPr>
          <w:rFonts w:cs="Times New Roman"/>
          <w:sz w:val="22"/>
          <w:szCs w:val="22"/>
        </w:rPr>
        <w:t xml:space="preserve">- Il Consiglio Comunale deve approvare, entro il termine fissato da norme statali per l'approvazione del </w:t>
      </w:r>
      <w:proofErr w:type="gramStart"/>
      <w:r w:rsidRPr="00926607">
        <w:rPr>
          <w:rFonts w:cs="Times New Roman"/>
          <w:sz w:val="22"/>
          <w:szCs w:val="22"/>
        </w:rPr>
        <w:t>bilancio  di</w:t>
      </w:r>
      <w:proofErr w:type="gramEnd"/>
      <w:r w:rsidRPr="00926607">
        <w:rPr>
          <w:rFonts w:cs="Times New Roman"/>
          <w:sz w:val="22"/>
          <w:szCs w:val="22"/>
        </w:rPr>
        <w:t xml:space="preserve">  previsione,  le tariffe della TARI in </w:t>
      </w:r>
      <w:proofErr w:type="spellStart"/>
      <w:r w:rsidRPr="00926607">
        <w:rPr>
          <w:rFonts w:cs="Times New Roman"/>
          <w:sz w:val="22"/>
          <w:szCs w:val="22"/>
        </w:rPr>
        <w:t>conformita'</w:t>
      </w:r>
      <w:proofErr w:type="spellEnd"/>
      <w:r w:rsidRPr="00926607">
        <w:rPr>
          <w:rFonts w:cs="Times New Roman"/>
          <w:sz w:val="22"/>
          <w:szCs w:val="22"/>
        </w:rPr>
        <w:t xml:space="preserve"> al piano finanziario  del  servizio di gestione dei rifiuti urbani, redatto dal soggetto  che  svolge  il servizio stesso ed  approvato  dal</w:t>
      </w:r>
      <w:r w:rsidR="003063B9" w:rsidRPr="00926607">
        <w:rPr>
          <w:rFonts w:cs="Times New Roman"/>
          <w:sz w:val="22"/>
          <w:szCs w:val="22"/>
        </w:rPr>
        <w:t>l’ARERA come disposto nella delibera n. 443/2019 e successive modifiche ed integrazioni</w:t>
      </w:r>
    </w:p>
    <w:p w14:paraId="784C91E5" w14:textId="109EDCA1" w:rsidR="00575C1E" w:rsidRPr="00926607" w:rsidRDefault="00BF3BCD" w:rsidP="00926607">
      <w:pPr>
        <w:pStyle w:val="Standard"/>
        <w:autoSpaceDE w:val="0"/>
        <w:spacing w:line="360" w:lineRule="auto"/>
        <w:jc w:val="both"/>
        <w:rPr>
          <w:rFonts w:cs="Times New Roman"/>
          <w:sz w:val="22"/>
          <w:szCs w:val="22"/>
        </w:rPr>
      </w:pPr>
      <w:r w:rsidRPr="00926607">
        <w:rPr>
          <w:rFonts w:cs="Times New Roman"/>
          <w:sz w:val="22"/>
          <w:szCs w:val="22"/>
        </w:rPr>
        <w:t xml:space="preserve">- che ai sensi </w:t>
      </w:r>
      <w:hyperlink r:id="rId9" w:history="1">
        <w:r w:rsidRPr="00926607">
          <w:rPr>
            <w:rFonts w:cs="Times New Roman"/>
            <w:szCs w:val="22"/>
          </w:rPr>
          <w:t xml:space="preserve">dell'art. </w:t>
        </w:r>
        <w:r w:rsidR="0055590B" w:rsidRPr="00926607">
          <w:rPr>
            <w:rFonts w:cs="Times New Roman"/>
            <w:szCs w:val="22"/>
          </w:rPr>
          <w:t>1 comma</w:t>
        </w:r>
        <w:r w:rsidR="00286035" w:rsidRPr="00926607">
          <w:rPr>
            <w:rFonts w:cs="Times New Roman"/>
            <w:szCs w:val="22"/>
          </w:rPr>
          <w:t xml:space="preserve"> </w:t>
        </w:r>
        <w:r w:rsidR="00B9676C" w:rsidRPr="00926607">
          <w:rPr>
            <w:rFonts w:cs="Times New Roman"/>
            <w:szCs w:val="22"/>
          </w:rPr>
          <w:t>169</w:t>
        </w:r>
        <w:r w:rsidR="00F25C3B" w:rsidRPr="00926607">
          <w:rPr>
            <w:rFonts w:cs="Times New Roman"/>
            <w:szCs w:val="22"/>
          </w:rPr>
          <w:t xml:space="preserve"> </w:t>
        </w:r>
        <w:r w:rsidR="0055590B" w:rsidRPr="00926607">
          <w:rPr>
            <w:rFonts w:cs="Times New Roman"/>
            <w:szCs w:val="22"/>
          </w:rPr>
          <w:t xml:space="preserve"> </w:t>
        </w:r>
        <w:r w:rsidRPr="00926607">
          <w:rPr>
            <w:rFonts w:cs="Times New Roman"/>
            <w:szCs w:val="22"/>
          </w:rPr>
          <w:t xml:space="preserve"> della Legge. </w:t>
        </w:r>
        <w:r w:rsidR="0055590B" w:rsidRPr="00926607">
          <w:rPr>
            <w:rFonts w:cs="Times New Roman"/>
            <w:szCs w:val="22"/>
          </w:rPr>
          <w:t>296/2006</w:t>
        </w:r>
      </w:hyperlink>
      <w:r w:rsidRPr="00926607">
        <w:rPr>
          <w:rFonts w:cs="Times New Roman"/>
          <w:sz w:val="22"/>
          <w:szCs w:val="22"/>
        </w:rPr>
        <w:t xml:space="preserve"> “il termine per deliberare le aliquote e le tariffe dei tributi locali, …. è stabilito entro la data fissata da norme statali per la deliberazione del bilancio di previsione…”;</w:t>
      </w:r>
    </w:p>
    <w:p w14:paraId="54154EC8" w14:textId="77777777" w:rsidR="00926607" w:rsidRPr="00926607" w:rsidRDefault="00926607" w:rsidP="00926607">
      <w:pPr>
        <w:spacing w:line="360" w:lineRule="auto"/>
        <w:jc w:val="both"/>
        <w:rPr>
          <w:rFonts w:cs="Times New Roman"/>
          <w:sz w:val="22"/>
          <w:szCs w:val="22"/>
        </w:rPr>
      </w:pPr>
    </w:p>
    <w:p w14:paraId="6BC08D35" w14:textId="71047BFB" w:rsidR="00AB53A4" w:rsidRPr="00926607" w:rsidRDefault="00AB53A4" w:rsidP="00926607">
      <w:pPr>
        <w:spacing w:line="360" w:lineRule="auto"/>
        <w:jc w:val="both"/>
        <w:rPr>
          <w:rFonts w:cs="Times New Roman"/>
          <w:sz w:val="22"/>
          <w:szCs w:val="22"/>
        </w:rPr>
      </w:pPr>
      <w:r w:rsidRPr="00926607">
        <w:rPr>
          <w:rFonts w:cs="Times New Roman"/>
          <w:sz w:val="22"/>
          <w:szCs w:val="22"/>
        </w:rPr>
        <w:t xml:space="preserve">Dato atto che, </w:t>
      </w:r>
    </w:p>
    <w:p w14:paraId="54F61866" w14:textId="113E7759" w:rsidR="00AB53A4" w:rsidRPr="00926607" w:rsidRDefault="00AB53A4" w:rsidP="00926607">
      <w:pPr>
        <w:widowControl/>
        <w:numPr>
          <w:ilvl w:val="0"/>
          <w:numId w:val="4"/>
        </w:numPr>
        <w:suppressAutoHyphens w:val="0"/>
        <w:autoSpaceDN/>
        <w:spacing w:line="360" w:lineRule="auto"/>
        <w:jc w:val="both"/>
        <w:textAlignment w:val="auto"/>
        <w:rPr>
          <w:rFonts w:cs="Times New Roman"/>
          <w:sz w:val="22"/>
          <w:szCs w:val="22"/>
        </w:rPr>
      </w:pPr>
      <w:r w:rsidRPr="00926607">
        <w:rPr>
          <w:rFonts w:cs="Times New Roman"/>
          <w:sz w:val="22"/>
          <w:szCs w:val="22"/>
        </w:rPr>
        <w:lastRenderedPageBreak/>
        <w:t xml:space="preserve">all’attualità, nell’ambito territoriale ottimale cui appartiene il Comune di ____________, non risulta definito e/o operativo l’ente di governo d’ambito (EGATO) di cui </w:t>
      </w:r>
      <w:hyperlink r:id="rId10" w:history="1">
        <w:r w:rsidRPr="00295DC1">
          <w:rPr>
            <w:rStyle w:val="Collegamentoipertestuale"/>
            <w:rFonts w:cs="Times New Roman"/>
            <w:sz w:val="22"/>
            <w:szCs w:val="22"/>
          </w:rPr>
          <w:t>all’art. 3 bis del decreto-legge n. 138/2011</w:t>
        </w:r>
      </w:hyperlink>
      <w:r w:rsidRPr="00926607">
        <w:rPr>
          <w:rFonts w:cs="Times New Roman"/>
          <w:sz w:val="22"/>
          <w:szCs w:val="22"/>
        </w:rPr>
        <w:t xml:space="preserve">, convertito con modificazioni dalla </w:t>
      </w:r>
      <w:hyperlink r:id="rId11" w:history="1">
        <w:r w:rsidRPr="00295DC1">
          <w:rPr>
            <w:rStyle w:val="Collegamentoipertestuale"/>
            <w:rFonts w:cs="Times New Roman"/>
            <w:sz w:val="22"/>
            <w:szCs w:val="22"/>
          </w:rPr>
          <w:t>Legge n. 148/2011</w:t>
        </w:r>
      </w:hyperlink>
      <w:r w:rsidRPr="00926607">
        <w:rPr>
          <w:rFonts w:cs="Times New Roman"/>
          <w:sz w:val="22"/>
          <w:szCs w:val="22"/>
        </w:rPr>
        <w:t>;</w:t>
      </w:r>
    </w:p>
    <w:p w14:paraId="0012DB7F" w14:textId="77777777" w:rsidR="00AB53A4" w:rsidRPr="00926607" w:rsidRDefault="00AB53A4" w:rsidP="00926607">
      <w:pPr>
        <w:widowControl/>
        <w:numPr>
          <w:ilvl w:val="0"/>
          <w:numId w:val="4"/>
        </w:numPr>
        <w:suppressAutoHyphens w:val="0"/>
        <w:autoSpaceDN/>
        <w:spacing w:line="360" w:lineRule="auto"/>
        <w:jc w:val="both"/>
        <w:textAlignment w:val="auto"/>
        <w:rPr>
          <w:rFonts w:cs="Times New Roman"/>
          <w:sz w:val="22"/>
          <w:szCs w:val="22"/>
        </w:rPr>
      </w:pPr>
      <w:r w:rsidRPr="00926607">
        <w:rPr>
          <w:rFonts w:cs="Times New Roman"/>
          <w:sz w:val="22"/>
          <w:szCs w:val="22"/>
        </w:rPr>
        <w:t>nell’assenza, pertanto, le relative funzioni sono di competenza dell’Amministrazione Comunale.</w:t>
      </w:r>
    </w:p>
    <w:p w14:paraId="2FB271B2" w14:textId="77777777" w:rsidR="00AB53A4" w:rsidRPr="00926607" w:rsidRDefault="00AB53A4" w:rsidP="00926607">
      <w:pPr>
        <w:pStyle w:val="Standard"/>
        <w:spacing w:line="360" w:lineRule="auto"/>
        <w:jc w:val="both"/>
        <w:rPr>
          <w:sz w:val="22"/>
        </w:rPr>
      </w:pPr>
    </w:p>
    <w:p w14:paraId="4F43332A" w14:textId="77777777" w:rsidR="00FA0794" w:rsidRPr="00926607" w:rsidRDefault="00FA0794" w:rsidP="00926607">
      <w:pPr>
        <w:spacing w:line="360" w:lineRule="auto"/>
        <w:jc w:val="both"/>
        <w:rPr>
          <w:rFonts w:cs="Times New Roman"/>
          <w:sz w:val="22"/>
          <w:szCs w:val="22"/>
        </w:rPr>
      </w:pPr>
    </w:p>
    <w:p w14:paraId="046048C6" w14:textId="1C24F2D0" w:rsidR="00FA0794" w:rsidRPr="00926607" w:rsidRDefault="00FA0794" w:rsidP="00926607">
      <w:pPr>
        <w:spacing w:line="360" w:lineRule="auto"/>
        <w:jc w:val="both"/>
        <w:rPr>
          <w:rFonts w:cs="Times New Roman"/>
          <w:sz w:val="22"/>
          <w:szCs w:val="22"/>
        </w:rPr>
      </w:pPr>
      <w:r w:rsidRPr="00926607">
        <w:rPr>
          <w:rFonts w:cs="Times New Roman"/>
          <w:sz w:val="22"/>
          <w:szCs w:val="22"/>
        </w:rPr>
        <w:t>Visto il Piano economico finanziario allegato alla presente, dal quale emerge un totale delle entrate tariffarie di riferimento per il servizio di gestione dei rifiuti urbani per l’anno 2021</w:t>
      </w:r>
      <w:r w:rsidRPr="00926607">
        <w:rPr>
          <w:rFonts w:cs="Times New Roman"/>
          <w:b/>
          <w:sz w:val="22"/>
          <w:szCs w:val="22"/>
        </w:rPr>
        <w:t xml:space="preserve"> </w:t>
      </w:r>
      <w:r w:rsidRPr="00926607">
        <w:rPr>
          <w:rFonts w:cs="Times New Roman"/>
          <w:sz w:val="22"/>
          <w:szCs w:val="22"/>
        </w:rPr>
        <w:t xml:space="preserve">di </w:t>
      </w:r>
      <w:r w:rsidRPr="00926607">
        <w:rPr>
          <w:rFonts w:cs="Times New Roman"/>
          <w:color w:val="000000"/>
          <w:sz w:val="22"/>
          <w:szCs w:val="22"/>
        </w:rPr>
        <w:t xml:space="preserve">euro ________,00 (______________/00 euro) </w:t>
      </w:r>
      <w:r w:rsidRPr="00926607">
        <w:rPr>
          <w:rFonts w:cs="Times New Roman"/>
          <w:sz w:val="22"/>
          <w:szCs w:val="22"/>
        </w:rPr>
        <w:t>così ripartito: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1"/>
        <w:gridCol w:w="1997"/>
      </w:tblGrid>
      <w:tr w:rsidR="00FA0794" w:rsidRPr="00926607" w14:paraId="0EAC8AE6" w14:textId="77777777" w:rsidTr="00D621EA">
        <w:tc>
          <w:tcPr>
            <w:tcW w:w="8188" w:type="dxa"/>
            <w:shd w:val="clear" w:color="auto" w:fill="auto"/>
          </w:tcPr>
          <w:p w14:paraId="7CD47771" w14:textId="77777777" w:rsidR="00FA0794" w:rsidRPr="00926607" w:rsidRDefault="00FA0794" w:rsidP="00926607">
            <w:pPr>
              <w:spacing w:before="120" w:after="120" w:line="360" w:lineRule="auto"/>
              <w:jc w:val="both"/>
              <w:rPr>
                <w:rFonts w:eastAsia="Calibri" w:cs="Times New Roman"/>
                <w:sz w:val="22"/>
                <w:szCs w:val="22"/>
              </w:rPr>
            </w:pPr>
            <w:r w:rsidRPr="00926607">
              <w:rPr>
                <w:rFonts w:eastAsia="Calibri" w:cs="Times New Roman"/>
                <w:i/>
                <w:sz w:val="22"/>
                <w:szCs w:val="22"/>
              </w:rPr>
              <w:t xml:space="preserve">Totale delle entrate tariffarie relative alle componenti di </w:t>
            </w:r>
            <w:r w:rsidRPr="00926607">
              <w:rPr>
                <w:rFonts w:eastAsia="Calibri" w:cs="Times New Roman"/>
                <w:b/>
                <w:bCs/>
                <w:i/>
                <w:sz w:val="22"/>
                <w:szCs w:val="22"/>
              </w:rPr>
              <w:t>COSTO VARIABILE</w:t>
            </w:r>
            <w:r w:rsidRPr="00926607">
              <w:rPr>
                <w:rFonts w:eastAsia="Calibri" w:cs="Times New Roman"/>
                <w:i/>
                <w:sz w:val="22"/>
                <w:szCs w:val="22"/>
              </w:rPr>
              <w:tab/>
            </w:r>
          </w:p>
        </w:tc>
        <w:tc>
          <w:tcPr>
            <w:tcW w:w="2156" w:type="dxa"/>
            <w:shd w:val="clear" w:color="auto" w:fill="auto"/>
            <w:vAlign w:val="center"/>
          </w:tcPr>
          <w:p w14:paraId="7DF72DFF" w14:textId="5083C8D0" w:rsidR="00FA0794" w:rsidRPr="00926607" w:rsidRDefault="00FA0794" w:rsidP="00926607">
            <w:pPr>
              <w:spacing w:before="120" w:after="120" w:line="360" w:lineRule="auto"/>
              <w:jc w:val="right"/>
              <w:rPr>
                <w:rFonts w:eastAsia="Calibri" w:cs="Times New Roman"/>
                <w:sz w:val="22"/>
                <w:szCs w:val="22"/>
              </w:rPr>
            </w:pPr>
          </w:p>
        </w:tc>
      </w:tr>
      <w:tr w:rsidR="00FA0794" w:rsidRPr="00926607" w14:paraId="26BABF4F" w14:textId="77777777" w:rsidTr="00D621EA">
        <w:tc>
          <w:tcPr>
            <w:tcW w:w="8188" w:type="dxa"/>
            <w:shd w:val="clear" w:color="auto" w:fill="auto"/>
          </w:tcPr>
          <w:p w14:paraId="0C594564" w14:textId="77777777" w:rsidR="00FA0794" w:rsidRPr="00926607" w:rsidRDefault="00FA0794" w:rsidP="00926607">
            <w:pPr>
              <w:spacing w:before="120" w:after="120" w:line="360" w:lineRule="auto"/>
              <w:jc w:val="both"/>
              <w:rPr>
                <w:rFonts w:eastAsia="Calibri" w:cs="Times New Roman"/>
                <w:sz w:val="22"/>
                <w:szCs w:val="22"/>
              </w:rPr>
            </w:pPr>
            <w:r w:rsidRPr="00926607">
              <w:rPr>
                <w:rFonts w:eastAsia="Calibri" w:cs="Times New Roman"/>
                <w:i/>
                <w:sz w:val="22"/>
                <w:szCs w:val="22"/>
              </w:rPr>
              <w:t xml:space="preserve">Totale delle entrate tariffarie relative alle componenti di </w:t>
            </w:r>
            <w:r w:rsidRPr="00926607">
              <w:rPr>
                <w:rFonts w:eastAsia="Calibri" w:cs="Times New Roman"/>
                <w:b/>
                <w:bCs/>
                <w:i/>
                <w:sz w:val="22"/>
                <w:szCs w:val="22"/>
              </w:rPr>
              <w:t>COSTO FISSO</w:t>
            </w:r>
          </w:p>
        </w:tc>
        <w:tc>
          <w:tcPr>
            <w:tcW w:w="2156" w:type="dxa"/>
            <w:shd w:val="clear" w:color="auto" w:fill="auto"/>
            <w:vAlign w:val="center"/>
          </w:tcPr>
          <w:p w14:paraId="57C7CAC5" w14:textId="6ABBB6B1" w:rsidR="00FA0794" w:rsidRPr="00926607" w:rsidRDefault="00FA0794" w:rsidP="00926607">
            <w:pPr>
              <w:spacing w:before="120" w:after="120" w:line="360" w:lineRule="auto"/>
              <w:jc w:val="right"/>
              <w:rPr>
                <w:rFonts w:eastAsia="Calibri" w:cs="Times New Roman"/>
                <w:sz w:val="22"/>
                <w:szCs w:val="22"/>
              </w:rPr>
            </w:pPr>
          </w:p>
        </w:tc>
      </w:tr>
    </w:tbl>
    <w:p w14:paraId="654A0812" w14:textId="77777777" w:rsidR="00FA0794" w:rsidRPr="00926607" w:rsidRDefault="00FA0794" w:rsidP="00926607">
      <w:pPr>
        <w:pStyle w:val="Paragrafoelenco"/>
        <w:numPr>
          <w:ilvl w:val="0"/>
          <w:numId w:val="2"/>
        </w:numPr>
        <w:autoSpaceDE w:val="0"/>
        <w:spacing w:line="360" w:lineRule="auto"/>
        <w:jc w:val="both"/>
        <w:rPr>
          <w:rFonts w:cs="Times New Roman"/>
          <w:iCs/>
          <w:strike/>
          <w:sz w:val="22"/>
          <w:szCs w:val="22"/>
        </w:rPr>
      </w:pPr>
    </w:p>
    <w:p w14:paraId="1B8EB961" w14:textId="77777777" w:rsidR="009F07B5" w:rsidRPr="00926607" w:rsidRDefault="009F07B5" w:rsidP="00926607">
      <w:pPr>
        <w:autoSpaceDE w:val="0"/>
        <w:spacing w:line="360" w:lineRule="auto"/>
        <w:jc w:val="both"/>
        <w:rPr>
          <w:rFonts w:cs="Times New Roman"/>
          <w:iCs/>
          <w:sz w:val="22"/>
          <w:szCs w:val="22"/>
        </w:rPr>
      </w:pPr>
      <w:r w:rsidRPr="00926607">
        <w:rPr>
          <w:rFonts w:cs="Times New Roman"/>
          <w:iCs/>
          <w:sz w:val="22"/>
          <w:szCs w:val="22"/>
        </w:rPr>
        <w:t>Rilevato che:</w:t>
      </w:r>
    </w:p>
    <w:p w14:paraId="4D6A893E" w14:textId="39B16B69" w:rsidR="009F07B5" w:rsidRPr="00926607" w:rsidRDefault="009F07B5" w:rsidP="00926607">
      <w:pPr>
        <w:widowControl/>
        <w:numPr>
          <w:ilvl w:val="0"/>
          <w:numId w:val="4"/>
        </w:numPr>
        <w:tabs>
          <w:tab w:val="clear" w:pos="360"/>
        </w:tabs>
        <w:suppressAutoHyphens w:val="0"/>
        <w:autoSpaceDE w:val="0"/>
        <w:autoSpaceDN/>
        <w:spacing w:line="360" w:lineRule="auto"/>
        <w:ind w:left="284" w:hanging="284"/>
        <w:jc w:val="both"/>
        <w:textAlignment w:val="auto"/>
        <w:rPr>
          <w:rFonts w:cs="Times New Roman"/>
          <w:sz w:val="22"/>
          <w:szCs w:val="22"/>
        </w:rPr>
      </w:pPr>
      <w:r w:rsidRPr="00926607">
        <w:rPr>
          <w:rFonts w:cs="Times New Roman"/>
          <w:sz w:val="22"/>
          <w:szCs w:val="22"/>
        </w:rPr>
        <w:t xml:space="preserve">il rapporto tra il totale delle entrate tariffarie relative alla componente di costo variabile per l’anno </w:t>
      </w:r>
      <w:r w:rsidR="001E61F1" w:rsidRPr="00926607">
        <w:rPr>
          <w:rFonts w:cs="Times New Roman"/>
          <w:sz w:val="22"/>
          <w:szCs w:val="22"/>
        </w:rPr>
        <w:t>2021</w:t>
      </w:r>
      <w:r w:rsidRPr="00926607">
        <w:rPr>
          <w:rFonts w:cs="Times New Roman"/>
          <w:sz w:val="22"/>
          <w:szCs w:val="22"/>
        </w:rPr>
        <w:t xml:space="preserve"> e quello delle entrate tariffarie relative alla componente di costo variabile computate per l’anno </w:t>
      </w:r>
      <w:r w:rsidR="001E61F1" w:rsidRPr="00926607">
        <w:rPr>
          <w:rFonts w:cs="Times New Roman"/>
          <w:sz w:val="22"/>
          <w:szCs w:val="22"/>
        </w:rPr>
        <w:t>2020</w:t>
      </w:r>
      <w:r w:rsidRPr="00926607">
        <w:rPr>
          <w:rFonts w:cs="Times New Roman"/>
          <w:sz w:val="22"/>
          <w:szCs w:val="22"/>
        </w:rPr>
        <w:t xml:space="preserve"> è conforme ai limiti di cui all’art. 3 MTR come indicato al punto 4.2.1 del documento “443-2019-R-rif Appendice 2_Relazione di accompagnamento al PEF del Comune di </w:t>
      </w:r>
      <w:r w:rsidR="00295DC1">
        <w:rPr>
          <w:rFonts w:cs="Times New Roman"/>
          <w:sz w:val="22"/>
          <w:szCs w:val="22"/>
        </w:rPr>
        <w:t>…………</w:t>
      </w:r>
      <w:r w:rsidRPr="00926607">
        <w:rPr>
          <w:rFonts w:cs="Times New Roman"/>
          <w:sz w:val="22"/>
          <w:szCs w:val="22"/>
        </w:rPr>
        <w:t>”;</w:t>
      </w:r>
    </w:p>
    <w:p w14:paraId="0B1FE28C" w14:textId="65ABA660" w:rsidR="009F07B5" w:rsidRPr="00926607" w:rsidRDefault="009F07B5" w:rsidP="00926607">
      <w:pPr>
        <w:widowControl/>
        <w:numPr>
          <w:ilvl w:val="0"/>
          <w:numId w:val="4"/>
        </w:numPr>
        <w:tabs>
          <w:tab w:val="clear" w:pos="360"/>
        </w:tabs>
        <w:suppressAutoHyphens w:val="0"/>
        <w:autoSpaceDE w:val="0"/>
        <w:autoSpaceDN/>
        <w:spacing w:line="360" w:lineRule="auto"/>
        <w:ind w:left="284" w:hanging="284"/>
        <w:jc w:val="both"/>
        <w:textAlignment w:val="auto"/>
        <w:rPr>
          <w:rFonts w:cs="Times New Roman"/>
          <w:sz w:val="22"/>
          <w:szCs w:val="22"/>
        </w:rPr>
      </w:pPr>
      <w:r w:rsidRPr="00926607">
        <w:rPr>
          <w:rFonts w:cs="Times New Roman"/>
          <w:sz w:val="22"/>
          <w:szCs w:val="22"/>
        </w:rPr>
        <w:t xml:space="preserve">a norma </w:t>
      </w:r>
      <w:hyperlink r:id="rId12" w:history="1">
        <w:r w:rsidRPr="00295DC1">
          <w:rPr>
            <w:rStyle w:val="Collegamentoipertestuale"/>
            <w:rFonts w:cs="Times New Roman"/>
            <w:sz w:val="22"/>
            <w:szCs w:val="22"/>
          </w:rPr>
          <w:t>dell’art. 4 del D.P.R. n. 158 del 27.04.1999</w:t>
        </w:r>
      </w:hyperlink>
      <w:r w:rsidRPr="00926607">
        <w:rPr>
          <w:rFonts w:cs="Times New Roman"/>
          <w:sz w:val="22"/>
          <w:szCs w:val="22"/>
        </w:rPr>
        <w:t xml:space="preserve"> – </w:t>
      </w:r>
      <w:r w:rsidRPr="00926607">
        <w:rPr>
          <w:rFonts w:cs="Times New Roman"/>
          <w:i/>
          <w:sz w:val="22"/>
          <w:szCs w:val="22"/>
        </w:rPr>
        <w:t>Regolamento recante norme per la elaborazione del metodo normalizzato per definire la tariffa del servizio di gestione del ciclo dei rifiuti urbani</w:t>
      </w:r>
      <w:r w:rsidRPr="00926607">
        <w:rPr>
          <w:rFonts w:cs="Times New Roman"/>
          <w:sz w:val="22"/>
          <w:szCs w:val="22"/>
        </w:rPr>
        <w:t xml:space="preserve"> – la tariffa deve essere articolata nelle fasce di utenza domestica e non domestica e l’ente locale deve, a tal fine, ripartire i costi da coprire attraverso la tariffa nelle due tipologie di utenza indicate;</w:t>
      </w:r>
    </w:p>
    <w:p w14:paraId="784C91F6" w14:textId="77777777" w:rsidR="00575C1E" w:rsidRPr="00926607" w:rsidRDefault="00575C1E" w:rsidP="00926607">
      <w:pPr>
        <w:pStyle w:val="Standard"/>
        <w:spacing w:line="360" w:lineRule="auto"/>
        <w:jc w:val="both"/>
        <w:rPr>
          <w:sz w:val="22"/>
        </w:rPr>
      </w:pPr>
    </w:p>
    <w:p w14:paraId="784C9202" w14:textId="77777777" w:rsidR="00575C1E" w:rsidRPr="00926607" w:rsidRDefault="00BF3BCD" w:rsidP="00926607">
      <w:pPr>
        <w:pStyle w:val="Standard"/>
        <w:autoSpaceDE w:val="0"/>
        <w:spacing w:line="360" w:lineRule="auto"/>
        <w:jc w:val="both"/>
        <w:rPr>
          <w:sz w:val="22"/>
        </w:rPr>
      </w:pPr>
      <w:r w:rsidRPr="00926607">
        <w:rPr>
          <w:b/>
          <w:bCs/>
          <w:sz w:val="22"/>
        </w:rPr>
        <w:t>Visto</w:t>
      </w:r>
      <w:r w:rsidRPr="00926607">
        <w:rPr>
          <w:sz w:val="22"/>
        </w:rPr>
        <w:t xml:space="preserve"> il vigente Regolamento del Comune di </w:t>
      </w:r>
      <w:proofErr w:type="gramStart"/>
      <w:r w:rsidRPr="00926607">
        <w:rPr>
          <w:sz w:val="22"/>
        </w:rPr>
        <w:t>…....</w:t>
      </w:r>
      <w:proofErr w:type="gramEnd"/>
      <w:r w:rsidRPr="00926607">
        <w:rPr>
          <w:sz w:val="22"/>
        </w:rPr>
        <w:t>. per la disciplina della Tassa sui Rifiuti (TARI);</w:t>
      </w:r>
    </w:p>
    <w:p w14:paraId="784C9203" w14:textId="77777777" w:rsidR="00575C1E" w:rsidRPr="00926607" w:rsidRDefault="00575C1E" w:rsidP="00926607">
      <w:pPr>
        <w:pStyle w:val="Standard"/>
        <w:autoSpaceDE w:val="0"/>
        <w:spacing w:line="360" w:lineRule="auto"/>
        <w:jc w:val="both"/>
        <w:rPr>
          <w:sz w:val="22"/>
        </w:rPr>
      </w:pPr>
    </w:p>
    <w:p w14:paraId="784C9204" w14:textId="664C556F" w:rsidR="00575C1E" w:rsidRPr="00926607" w:rsidRDefault="00BF3BCD" w:rsidP="00926607">
      <w:pPr>
        <w:pStyle w:val="Standard"/>
        <w:autoSpaceDE w:val="0"/>
        <w:spacing w:line="360" w:lineRule="auto"/>
        <w:jc w:val="both"/>
        <w:rPr>
          <w:sz w:val="22"/>
        </w:rPr>
      </w:pPr>
      <w:r w:rsidRPr="00926607">
        <w:rPr>
          <w:b/>
          <w:bCs/>
          <w:sz w:val="22"/>
        </w:rPr>
        <w:t>Visto</w:t>
      </w:r>
      <w:r w:rsidRPr="00926607">
        <w:rPr>
          <w:sz w:val="22"/>
        </w:rPr>
        <w:t xml:space="preserve"> il parere espresso dal Collegio dei Revisori dei Conti in ordine a quanto previsto </w:t>
      </w:r>
      <w:hyperlink r:id="rId13" w:history="1">
        <w:r w:rsidRPr="00926607">
          <w:rPr>
            <w:rStyle w:val="Collegamentoipertestuale"/>
            <w:sz w:val="22"/>
          </w:rPr>
          <w:t xml:space="preserve">dall’art. 239 del </w:t>
        </w:r>
        <w:proofErr w:type="spellStart"/>
        <w:r w:rsidRPr="00926607">
          <w:rPr>
            <w:rStyle w:val="Collegamentoipertestuale"/>
            <w:sz w:val="22"/>
          </w:rPr>
          <w:t>D.Lgs.</w:t>
        </w:r>
        <w:proofErr w:type="spellEnd"/>
        <w:r w:rsidRPr="00926607">
          <w:rPr>
            <w:rStyle w:val="Collegamentoipertestuale"/>
            <w:sz w:val="22"/>
          </w:rPr>
          <w:t xml:space="preserve"> 267/2000</w:t>
        </w:r>
      </w:hyperlink>
      <w:r w:rsidRPr="00926607">
        <w:rPr>
          <w:sz w:val="22"/>
        </w:rPr>
        <w:t xml:space="preserve"> rilasciata in data ……</w:t>
      </w:r>
      <w:proofErr w:type="gramStart"/>
      <w:r w:rsidRPr="00926607">
        <w:rPr>
          <w:sz w:val="22"/>
        </w:rPr>
        <w:t>…….</w:t>
      </w:r>
      <w:proofErr w:type="gramEnd"/>
      <w:r w:rsidRPr="00926607">
        <w:rPr>
          <w:sz w:val="22"/>
        </w:rPr>
        <w:t xml:space="preserve">. </w:t>
      </w:r>
      <w:proofErr w:type="spellStart"/>
      <w:r w:rsidRPr="00926607">
        <w:rPr>
          <w:sz w:val="22"/>
        </w:rPr>
        <w:t>Prot</w:t>
      </w:r>
      <w:proofErr w:type="spellEnd"/>
      <w:r w:rsidRPr="00926607">
        <w:rPr>
          <w:sz w:val="22"/>
        </w:rPr>
        <w:t>……………</w:t>
      </w:r>
      <w:proofErr w:type="gramStart"/>
      <w:r w:rsidRPr="00926607">
        <w:rPr>
          <w:sz w:val="22"/>
        </w:rPr>
        <w:t>…….</w:t>
      </w:r>
      <w:proofErr w:type="gramEnd"/>
      <w:r w:rsidRPr="00926607">
        <w:rPr>
          <w:sz w:val="22"/>
        </w:rPr>
        <w:t>;</w:t>
      </w:r>
    </w:p>
    <w:p w14:paraId="784C9205" w14:textId="77777777" w:rsidR="00575C1E" w:rsidRPr="00926607" w:rsidRDefault="00575C1E" w:rsidP="00926607">
      <w:pPr>
        <w:pStyle w:val="Standard"/>
        <w:autoSpaceDE w:val="0"/>
        <w:spacing w:line="360" w:lineRule="auto"/>
        <w:jc w:val="both"/>
        <w:rPr>
          <w:sz w:val="22"/>
        </w:rPr>
      </w:pPr>
    </w:p>
    <w:p w14:paraId="784C9206" w14:textId="36FE0191" w:rsidR="00575C1E" w:rsidRPr="00926607" w:rsidRDefault="00BF3BCD" w:rsidP="00926607">
      <w:pPr>
        <w:pStyle w:val="Standard"/>
        <w:autoSpaceDE w:val="0"/>
        <w:spacing w:line="360" w:lineRule="auto"/>
        <w:jc w:val="both"/>
        <w:rPr>
          <w:sz w:val="22"/>
        </w:rPr>
      </w:pPr>
      <w:r w:rsidRPr="00926607">
        <w:rPr>
          <w:b/>
          <w:bCs/>
          <w:sz w:val="22"/>
        </w:rPr>
        <w:t>Visto</w:t>
      </w:r>
      <w:r w:rsidRPr="00926607">
        <w:rPr>
          <w:sz w:val="22"/>
        </w:rPr>
        <w:t xml:space="preserve"> il </w:t>
      </w:r>
      <w:hyperlink r:id="rId14" w:history="1">
        <w:r w:rsidRPr="00926607">
          <w:rPr>
            <w:rStyle w:val="Collegamentoipertestuale"/>
            <w:sz w:val="22"/>
          </w:rPr>
          <w:t>D. Lgs. n. 267/2000</w:t>
        </w:r>
      </w:hyperlink>
      <w:r w:rsidRPr="00926607">
        <w:rPr>
          <w:sz w:val="22"/>
        </w:rPr>
        <w:t xml:space="preserve"> e in particolare gli artt. </w:t>
      </w:r>
      <w:hyperlink r:id="rId15" w:history="1">
        <w:r w:rsidRPr="00926607">
          <w:rPr>
            <w:rStyle w:val="Collegamentoipertestuale"/>
            <w:sz w:val="22"/>
          </w:rPr>
          <w:t>42</w:t>
        </w:r>
      </w:hyperlink>
      <w:r w:rsidRPr="00926607">
        <w:rPr>
          <w:sz w:val="22"/>
        </w:rPr>
        <w:t xml:space="preserve"> (Attribuzioni dei consigli) e </w:t>
      </w:r>
      <w:hyperlink r:id="rId16" w:history="1">
        <w:r w:rsidRPr="00926607">
          <w:rPr>
            <w:rStyle w:val="Collegamentoipertestuale"/>
            <w:sz w:val="22"/>
          </w:rPr>
          <w:t>134</w:t>
        </w:r>
      </w:hyperlink>
      <w:r w:rsidRPr="00926607">
        <w:rPr>
          <w:sz w:val="22"/>
        </w:rPr>
        <w:t xml:space="preserve"> (Esecutività delle deliberazioni) ;</w:t>
      </w:r>
    </w:p>
    <w:p w14:paraId="784C9207" w14:textId="77777777" w:rsidR="00575C1E" w:rsidRPr="00926607" w:rsidRDefault="00575C1E" w:rsidP="00926607">
      <w:pPr>
        <w:pStyle w:val="Standard"/>
        <w:autoSpaceDE w:val="0"/>
        <w:spacing w:line="360" w:lineRule="auto"/>
        <w:jc w:val="both"/>
        <w:rPr>
          <w:sz w:val="22"/>
        </w:rPr>
      </w:pPr>
    </w:p>
    <w:p w14:paraId="784C9208" w14:textId="77777777" w:rsidR="00575C1E" w:rsidRPr="00926607" w:rsidRDefault="00BF3BCD" w:rsidP="00926607">
      <w:pPr>
        <w:pStyle w:val="Standard"/>
        <w:autoSpaceDE w:val="0"/>
        <w:spacing w:line="360" w:lineRule="auto"/>
        <w:jc w:val="both"/>
        <w:rPr>
          <w:sz w:val="22"/>
        </w:rPr>
      </w:pPr>
      <w:r w:rsidRPr="00926607">
        <w:rPr>
          <w:b/>
          <w:bCs/>
          <w:sz w:val="22"/>
        </w:rPr>
        <w:t>Visto</w:t>
      </w:r>
      <w:r w:rsidRPr="00926607">
        <w:rPr>
          <w:sz w:val="22"/>
        </w:rPr>
        <w:t xml:space="preserve"> lo Statuto del Comune di …........;</w:t>
      </w:r>
    </w:p>
    <w:p w14:paraId="784C9209" w14:textId="77777777" w:rsidR="00575C1E" w:rsidRPr="00926607" w:rsidRDefault="00575C1E" w:rsidP="00926607">
      <w:pPr>
        <w:pStyle w:val="Standard"/>
        <w:autoSpaceDE w:val="0"/>
        <w:spacing w:line="360" w:lineRule="auto"/>
        <w:jc w:val="both"/>
        <w:rPr>
          <w:sz w:val="22"/>
        </w:rPr>
      </w:pPr>
    </w:p>
    <w:p w14:paraId="784C920A" w14:textId="434664EC" w:rsidR="00575C1E" w:rsidRPr="00926607" w:rsidRDefault="00BF3BCD" w:rsidP="00926607">
      <w:pPr>
        <w:pStyle w:val="Standard"/>
        <w:autoSpaceDE w:val="0"/>
        <w:spacing w:line="360" w:lineRule="auto"/>
        <w:jc w:val="both"/>
        <w:rPr>
          <w:sz w:val="22"/>
        </w:rPr>
      </w:pPr>
      <w:r w:rsidRPr="00926607">
        <w:rPr>
          <w:b/>
          <w:bCs/>
          <w:sz w:val="22"/>
        </w:rPr>
        <w:t>Visti</w:t>
      </w:r>
      <w:r w:rsidRPr="00926607">
        <w:rPr>
          <w:sz w:val="22"/>
        </w:rPr>
        <w:t xml:space="preserve"> i pareri di cui </w:t>
      </w:r>
      <w:hyperlink r:id="rId17" w:history="1">
        <w:r w:rsidRPr="00926607">
          <w:rPr>
            <w:rStyle w:val="Collegamentoipertestuale"/>
            <w:sz w:val="22"/>
          </w:rPr>
          <w:t>all’art. 49 del D. Lgs. 267/2000</w:t>
        </w:r>
      </w:hyperlink>
      <w:r w:rsidRPr="00926607">
        <w:rPr>
          <w:sz w:val="22"/>
        </w:rPr>
        <w:t>, in ordine alla regolarità tecnica e contabile della presente proposta;</w:t>
      </w:r>
    </w:p>
    <w:p w14:paraId="784C920B" w14:textId="77777777" w:rsidR="00575C1E" w:rsidRPr="00926607" w:rsidRDefault="00575C1E" w:rsidP="00926607">
      <w:pPr>
        <w:pStyle w:val="Standard"/>
        <w:autoSpaceDE w:val="0"/>
        <w:spacing w:line="360" w:lineRule="auto"/>
        <w:jc w:val="both"/>
        <w:rPr>
          <w:sz w:val="22"/>
        </w:rPr>
      </w:pPr>
    </w:p>
    <w:p w14:paraId="784C920C" w14:textId="77777777" w:rsidR="00575C1E" w:rsidRPr="00926607" w:rsidRDefault="00BF3BCD" w:rsidP="00926607">
      <w:pPr>
        <w:pStyle w:val="Standard"/>
        <w:autoSpaceDE w:val="0"/>
        <w:spacing w:line="360" w:lineRule="auto"/>
        <w:jc w:val="center"/>
        <w:rPr>
          <w:sz w:val="22"/>
        </w:rPr>
      </w:pPr>
      <w:r w:rsidRPr="00926607">
        <w:rPr>
          <w:sz w:val="22"/>
        </w:rPr>
        <w:lastRenderedPageBreak/>
        <w:t>DELIBERA</w:t>
      </w:r>
    </w:p>
    <w:p w14:paraId="784C920D" w14:textId="77777777" w:rsidR="00575C1E" w:rsidRPr="00926607" w:rsidRDefault="00575C1E" w:rsidP="00926607">
      <w:pPr>
        <w:pStyle w:val="Standard"/>
        <w:autoSpaceDE w:val="0"/>
        <w:spacing w:line="360" w:lineRule="auto"/>
        <w:jc w:val="both"/>
        <w:rPr>
          <w:sz w:val="22"/>
        </w:rPr>
      </w:pPr>
    </w:p>
    <w:p w14:paraId="5430567A" w14:textId="77777777" w:rsidR="00AC56EF" w:rsidRPr="00926607" w:rsidRDefault="00AC56EF" w:rsidP="00926607">
      <w:pPr>
        <w:numPr>
          <w:ilvl w:val="0"/>
          <w:numId w:val="5"/>
        </w:numPr>
        <w:tabs>
          <w:tab w:val="clear" w:pos="360"/>
        </w:tabs>
        <w:suppressAutoHyphens w:val="0"/>
        <w:autoSpaceDE w:val="0"/>
        <w:adjustRightInd w:val="0"/>
        <w:spacing w:line="360" w:lineRule="auto"/>
        <w:ind w:left="284" w:hanging="284"/>
        <w:jc w:val="both"/>
        <w:textAlignment w:val="auto"/>
        <w:rPr>
          <w:rFonts w:cs="Times New Roman"/>
          <w:sz w:val="22"/>
          <w:szCs w:val="22"/>
        </w:rPr>
      </w:pPr>
      <w:r w:rsidRPr="00926607">
        <w:rPr>
          <w:rFonts w:cs="Times New Roman"/>
          <w:sz w:val="22"/>
          <w:szCs w:val="22"/>
        </w:rPr>
        <w:t>per le motivazioni di cui in premessa, da intendersi per intero richiamate, determinare, nella misura che segue, i valori dei parametri e coefficienti, necessari alla definizione del Piano economico Finanziario così come indicati in narrativa, che la Delibera n. 443/2019 di ARERA;</w:t>
      </w:r>
    </w:p>
    <w:p w14:paraId="5D725EA9" w14:textId="77777777" w:rsidR="00AC56EF" w:rsidRPr="00926607" w:rsidRDefault="00AC56EF" w:rsidP="00926607">
      <w:pPr>
        <w:widowControl/>
        <w:numPr>
          <w:ilvl w:val="1"/>
          <w:numId w:val="5"/>
        </w:numPr>
        <w:tabs>
          <w:tab w:val="clear" w:pos="1080"/>
        </w:tabs>
        <w:suppressAutoHyphens w:val="0"/>
        <w:autoSpaceDN/>
        <w:spacing w:line="360" w:lineRule="auto"/>
        <w:ind w:left="567" w:hanging="284"/>
        <w:jc w:val="both"/>
        <w:textAlignment w:val="auto"/>
        <w:rPr>
          <w:rFonts w:cs="Times New Roman"/>
          <w:bCs/>
          <w:spacing w:val="-4"/>
          <w:sz w:val="22"/>
          <w:szCs w:val="22"/>
        </w:rPr>
      </w:pPr>
      <w:r w:rsidRPr="00926607">
        <w:rPr>
          <w:rFonts w:cs="Times New Roman"/>
          <w:b/>
          <w:spacing w:val="-4"/>
          <w:sz w:val="22"/>
          <w:szCs w:val="22"/>
        </w:rPr>
        <w:t xml:space="preserve">(b): </w:t>
      </w:r>
      <w:r w:rsidRPr="00926607">
        <w:rPr>
          <w:rFonts w:cs="Times New Roman"/>
          <w:bCs/>
          <w:spacing w:val="-4"/>
          <w:sz w:val="22"/>
          <w:szCs w:val="22"/>
        </w:rPr>
        <w:t>fattore di sharing dei proventi derivanti dalla vendita di materiale ed energia dai rifiuti: valore pari a 0,30;</w:t>
      </w:r>
    </w:p>
    <w:p w14:paraId="07A65928" w14:textId="2391780C" w:rsidR="00AC56EF" w:rsidRPr="00926607" w:rsidRDefault="00AC56EF" w:rsidP="00926607">
      <w:pPr>
        <w:widowControl/>
        <w:numPr>
          <w:ilvl w:val="1"/>
          <w:numId w:val="5"/>
        </w:numPr>
        <w:tabs>
          <w:tab w:val="clear" w:pos="1080"/>
        </w:tabs>
        <w:suppressAutoHyphens w:val="0"/>
        <w:autoSpaceDN/>
        <w:spacing w:line="360" w:lineRule="auto"/>
        <w:ind w:left="567" w:hanging="284"/>
        <w:jc w:val="both"/>
        <w:textAlignment w:val="auto"/>
        <w:rPr>
          <w:rFonts w:cs="Times New Roman"/>
          <w:sz w:val="22"/>
          <w:szCs w:val="22"/>
        </w:rPr>
      </w:pPr>
      <w:r w:rsidRPr="00926607">
        <w:rPr>
          <w:rFonts w:cs="Times New Roman"/>
          <w:b/>
          <w:sz w:val="22"/>
          <w:szCs w:val="22"/>
        </w:rPr>
        <w:t>b</w:t>
      </w:r>
      <m:oMath>
        <m:r>
          <m:rPr>
            <m:sty m:val="bi"/>
          </m:rPr>
          <w:rPr>
            <w:rFonts w:ascii="Cambria Math" w:eastAsia="Times New Roman" w:hAnsi="Cambria Math" w:cs="Times New Roman"/>
            <w:color w:val="000000"/>
            <w:kern w:val="24"/>
            <w:position w:val="1"/>
            <w:sz w:val="22"/>
            <w:szCs w:val="22"/>
          </w:rPr>
          <m:t>(1+</m:t>
        </m:r>
        <m:sSub>
          <m:sSubPr>
            <m:ctrlPr>
              <w:rPr>
                <w:rFonts w:ascii="Cambria Math" w:eastAsia="Times New Roman" w:hAnsi="Cambria Math" w:cs="Times New Roman"/>
                <w:b/>
                <w:bCs/>
                <w:i/>
                <w:iCs/>
                <w:color w:val="000000"/>
                <w:kern w:val="24"/>
                <w:position w:val="1"/>
                <w:sz w:val="22"/>
                <w:szCs w:val="22"/>
              </w:rPr>
            </m:ctrlPr>
          </m:sSubPr>
          <m:e>
            <m:r>
              <m:rPr>
                <m:sty m:val="bi"/>
              </m:rPr>
              <w:rPr>
                <w:rFonts w:ascii="Cambria Math" w:eastAsia="Cambria Math" w:hAnsi="Cambria Math" w:cs="Times New Roman"/>
                <w:color w:val="000000"/>
                <w:kern w:val="24"/>
                <w:position w:val="1"/>
                <w:sz w:val="22"/>
                <w:szCs w:val="22"/>
              </w:rPr>
              <m:t>ω</m:t>
            </m:r>
          </m:e>
          <m:sub>
            <m:r>
              <m:rPr>
                <m:sty m:val="bi"/>
              </m:rPr>
              <w:rPr>
                <w:rFonts w:ascii="Cambria Math" w:eastAsia="Times New Roman" w:hAnsi="Cambria Math" w:cs="Times New Roman"/>
                <w:color w:val="000000"/>
                <w:kern w:val="24"/>
                <w:position w:val="1"/>
                <w:sz w:val="22"/>
                <w:szCs w:val="22"/>
              </w:rPr>
              <m:t>a</m:t>
            </m:r>
          </m:sub>
        </m:sSub>
        <m:r>
          <m:rPr>
            <m:sty m:val="bi"/>
          </m:rPr>
          <w:rPr>
            <w:rFonts w:ascii="Cambria Math" w:eastAsia="Times New Roman" w:hAnsi="Cambria Math" w:cs="Times New Roman"/>
            <w:color w:val="000000"/>
            <w:kern w:val="24"/>
            <w:position w:val="1"/>
            <w:sz w:val="22"/>
            <w:szCs w:val="22"/>
          </w:rPr>
          <m:t>)</m:t>
        </m:r>
      </m:oMath>
      <w:r w:rsidRPr="00926607">
        <w:rPr>
          <w:rFonts w:cs="Times New Roman"/>
          <w:sz w:val="22"/>
          <w:szCs w:val="22"/>
        </w:rPr>
        <w:t xml:space="preserve">: fattore di sharing dei proventi derivanti dai corrispettivi riconosciuti dal CONAI, valore di </w:t>
      </w:r>
      <m:oMath>
        <m:sSub>
          <m:sSubPr>
            <m:ctrlPr>
              <w:rPr>
                <w:rFonts w:ascii="Cambria Math" w:eastAsia="Times New Roman" w:hAnsi="Cambria Math" w:cs="Times New Roman"/>
                <w:b/>
                <w:bCs/>
                <w:i/>
                <w:iCs/>
                <w:color w:val="000000"/>
                <w:kern w:val="24"/>
                <w:position w:val="1"/>
                <w:sz w:val="22"/>
                <w:szCs w:val="22"/>
              </w:rPr>
            </m:ctrlPr>
          </m:sSubPr>
          <m:e>
            <m:r>
              <m:rPr>
                <m:sty m:val="bi"/>
              </m:rPr>
              <w:rPr>
                <w:rFonts w:ascii="Cambria Math" w:eastAsia="Cambria Math" w:hAnsi="Cambria Math" w:cs="Times New Roman"/>
                <w:color w:val="000000"/>
                <w:kern w:val="24"/>
                <w:position w:val="1"/>
                <w:sz w:val="22"/>
                <w:szCs w:val="22"/>
              </w:rPr>
              <m:t>ω</m:t>
            </m:r>
          </m:e>
          <m:sub>
            <m:r>
              <m:rPr>
                <m:sty m:val="bi"/>
              </m:rPr>
              <w:rPr>
                <w:rFonts w:ascii="Cambria Math" w:eastAsia="Times New Roman" w:hAnsi="Cambria Math" w:cs="Times New Roman"/>
                <w:color w:val="000000"/>
                <w:kern w:val="24"/>
                <w:position w:val="1"/>
                <w:sz w:val="22"/>
                <w:szCs w:val="22"/>
              </w:rPr>
              <m:t>a</m:t>
            </m:r>
          </m:sub>
        </m:sSub>
      </m:oMath>
      <w:r w:rsidRPr="00926607">
        <w:rPr>
          <w:rFonts w:cs="Times New Roman"/>
          <w:b/>
          <w:sz w:val="22"/>
          <w:szCs w:val="22"/>
        </w:rPr>
        <w:t xml:space="preserve"> </w:t>
      </w:r>
      <w:r w:rsidRPr="00926607">
        <w:rPr>
          <w:rFonts w:cs="Times New Roman"/>
          <w:sz w:val="22"/>
          <w:szCs w:val="22"/>
        </w:rPr>
        <w:t>pari a 0,10;</w:t>
      </w:r>
    </w:p>
    <w:p w14:paraId="13B70C41" w14:textId="77777777" w:rsidR="00AC56EF" w:rsidRPr="00926607" w:rsidRDefault="00AC56EF" w:rsidP="00926607">
      <w:pPr>
        <w:widowControl/>
        <w:numPr>
          <w:ilvl w:val="1"/>
          <w:numId w:val="5"/>
        </w:numPr>
        <w:tabs>
          <w:tab w:val="clear" w:pos="1080"/>
        </w:tabs>
        <w:suppressAutoHyphens w:val="0"/>
        <w:autoSpaceDN/>
        <w:spacing w:line="360" w:lineRule="auto"/>
        <w:ind w:left="567" w:hanging="284"/>
        <w:jc w:val="both"/>
        <w:textAlignment w:val="auto"/>
        <w:rPr>
          <w:rFonts w:cs="Times New Roman"/>
          <w:sz w:val="22"/>
          <w:szCs w:val="22"/>
        </w:rPr>
      </w:pPr>
      <w:r w:rsidRPr="00926607">
        <w:rPr>
          <w:rFonts w:cs="Times New Roman"/>
          <w:b/>
          <w:sz w:val="22"/>
          <w:szCs w:val="22"/>
        </w:rPr>
        <w:t>rateizzazione (r):</w:t>
      </w:r>
      <w:r w:rsidRPr="00926607">
        <w:rPr>
          <w:rFonts w:cs="Times New Roman"/>
          <w:sz w:val="22"/>
          <w:szCs w:val="22"/>
        </w:rPr>
        <w:t xml:space="preserve"> numero delle rate per il recupero della componente a conguaglio: valore pari a 1;</w:t>
      </w:r>
    </w:p>
    <w:p w14:paraId="705DE058" w14:textId="77777777" w:rsidR="00AC56EF" w:rsidRPr="00926607" w:rsidRDefault="00AC56EF" w:rsidP="00926607">
      <w:pPr>
        <w:widowControl/>
        <w:numPr>
          <w:ilvl w:val="1"/>
          <w:numId w:val="5"/>
        </w:numPr>
        <w:tabs>
          <w:tab w:val="clear" w:pos="1080"/>
        </w:tabs>
        <w:suppressAutoHyphens w:val="0"/>
        <w:autoSpaceDN/>
        <w:spacing w:line="360" w:lineRule="auto"/>
        <w:ind w:left="567" w:hanging="284"/>
        <w:jc w:val="both"/>
        <w:textAlignment w:val="auto"/>
        <w:rPr>
          <w:rFonts w:cs="Times New Roman"/>
          <w:sz w:val="22"/>
          <w:szCs w:val="22"/>
        </w:rPr>
      </w:pPr>
      <w:r w:rsidRPr="00926607">
        <w:rPr>
          <w:rFonts w:cs="Times New Roman"/>
          <w:b/>
          <w:sz w:val="22"/>
          <w:szCs w:val="22"/>
        </w:rPr>
        <w:t>(</w:t>
      </w:r>
      <w:proofErr w:type="spellStart"/>
      <w:r w:rsidRPr="00926607">
        <w:rPr>
          <w:rFonts w:cs="Times New Roman"/>
          <w:b/>
          <w:sz w:val="22"/>
          <w:szCs w:val="22"/>
        </w:rPr>
        <w:t>X</w:t>
      </w:r>
      <w:r w:rsidRPr="00926607">
        <w:rPr>
          <w:rFonts w:cs="Times New Roman"/>
          <w:b/>
          <w:sz w:val="22"/>
          <w:szCs w:val="22"/>
          <w:vertAlign w:val="subscript"/>
        </w:rPr>
        <w:t>a</w:t>
      </w:r>
      <w:proofErr w:type="spellEnd"/>
      <w:r w:rsidRPr="00926607">
        <w:rPr>
          <w:rFonts w:cs="Times New Roman"/>
          <w:b/>
          <w:sz w:val="22"/>
          <w:szCs w:val="22"/>
        </w:rPr>
        <w:t>)</w:t>
      </w:r>
      <w:r w:rsidRPr="00926607">
        <w:rPr>
          <w:rFonts w:cs="Times New Roman"/>
          <w:sz w:val="22"/>
          <w:szCs w:val="22"/>
        </w:rPr>
        <w:t xml:space="preserve"> coefficiente di recupero della produttività: valore pari a 0,10%;</w:t>
      </w:r>
    </w:p>
    <w:p w14:paraId="5C747BCA" w14:textId="77777777" w:rsidR="00AC56EF" w:rsidRPr="00926607" w:rsidRDefault="00AC56EF" w:rsidP="00926607">
      <w:pPr>
        <w:widowControl/>
        <w:numPr>
          <w:ilvl w:val="1"/>
          <w:numId w:val="5"/>
        </w:numPr>
        <w:tabs>
          <w:tab w:val="clear" w:pos="1080"/>
        </w:tabs>
        <w:suppressAutoHyphens w:val="0"/>
        <w:autoSpaceDN/>
        <w:spacing w:line="360" w:lineRule="auto"/>
        <w:ind w:left="567" w:hanging="284"/>
        <w:jc w:val="both"/>
        <w:textAlignment w:val="auto"/>
        <w:rPr>
          <w:rFonts w:cs="Times New Roman"/>
          <w:sz w:val="22"/>
          <w:szCs w:val="22"/>
        </w:rPr>
      </w:pPr>
      <w:r w:rsidRPr="00926607">
        <w:rPr>
          <w:rFonts w:cs="Times New Roman"/>
          <w:sz w:val="22"/>
          <w:szCs w:val="22"/>
        </w:rPr>
        <w:t>(</w:t>
      </w:r>
      <w:proofErr w:type="spellStart"/>
      <w:r w:rsidRPr="00926607">
        <w:rPr>
          <w:rFonts w:cs="Times New Roman"/>
          <w:b/>
          <w:sz w:val="22"/>
          <w:szCs w:val="22"/>
        </w:rPr>
        <w:t>QL</w:t>
      </w:r>
      <w:r w:rsidRPr="00926607">
        <w:rPr>
          <w:rFonts w:cs="Times New Roman"/>
          <w:b/>
          <w:sz w:val="22"/>
          <w:szCs w:val="22"/>
          <w:vertAlign w:val="subscript"/>
        </w:rPr>
        <w:t>a</w:t>
      </w:r>
      <w:proofErr w:type="spellEnd"/>
      <w:r w:rsidRPr="00926607">
        <w:rPr>
          <w:rFonts w:cs="Times New Roman"/>
          <w:b/>
          <w:sz w:val="22"/>
          <w:szCs w:val="22"/>
        </w:rPr>
        <w:t>)</w:t>
      </w:r>
      <w:r w:rsidRPr="00926607">
        <w:rPr>
          <w:rFonts w:cs="Times New Roman"/>
          <w:sz w:val="22"/>
          <w:szCs w:val="22"/>
        </w:rPr>
        <w:t xml:space="preserve"> coefficiente per il miglioramento previsto della qualità e delle caratteristiche delle prestazioni erogate agli utenti: valore pari a 0,00;</w:t>
      </w:r>
    </w:p>
    <w:p w14:paraId="7BBDDCE8" w14:textId="77777777" w:rsidR="00AC56EF" w:rsidRPr="00926607" w:rsidRDefault="00AC56EF" w:rsidP="00926607">
      <w:pPr>
        <w:widowControl/>
        <w:numPr>
          <w:ilvl w:val="1"/>
          <w:numId w:val="5"/>
        </w:numPr>
        <w:tabs>
          <w:tab w:val="clear" w:pos="1080"/>
        </w:tabs>
        <w:suppressAutoHyphens w:val="0"/>
        <w:autoSpaceDN/>
        <w:spacing w:line="360" w:lineRule="auto"/>
        <w:ind w:left="567" w:hanging="284"/>
        <w:jc w:val="both"/>
        <w:textAlignment w:val="auto"/>
        <w:rPr>
          <w:rFonts w:cs="Times New Roman"/>
          <w:sz w:val="22"/>
          <w:szCs w:val="22"/>
        </w:rPr>
      </w:pPr>
      <w:r w:rsidRPr="00926607">
        <w:rPr>
          <w:rFonts w:cs="Times New Roman"/>
          <w:b/>
          <w:sz w:val="22"/>
          <w:szCs w:val="22"/>
        </w:rPr>
        <w:t>(</w:t>
      </w:r>
      <w:proofErr w:type="spellStart"/>
      <w:r w:rsidRPr="00926607">
        <w:rPr>
          <w:rFonts w:cs="Times New Roman"/>
          <w:b/>
          <w:sz w:val="22"/>
          <w:szCs w:val="22"/>
        </w:rPr>
        <w:t>PG</w:t>
      </w:r>
      <w:r w:rsidRPr="00926607">
        <w:rPr>
          <w:rFonts w:cs="Times New Roman"/>
          <w:b/>
          <w:sz w:val="22"/>
          <w:szCs w:val="22"/>
          <w:vertAlign w:val="subscript"/>
        </w:rPr>
        <w:t>a</w:t>
      </w:r>
      <w:proofErr w:type="spellEnd"/>
      <w:r w:rsidRPr="00926607">
        <w:rPr>
          <w:rFonts w:cs="Times New Roman"/>
          <w:b/>
          <w:sz w:val="22"/>
          <w:szCs w:val="22"/>
        </w:rPr>
        <w:t xml:space="preserve">) </w:t>
      </w:r>
      <w:r w:rsidRPr="00926607">
        <w:rPr>
          <w:rFonts w:cs="Times New Roman"/>
          <w:sz w:val="22"/>
          <w:szCs w:val="22"/>
        </w:rPr>
        <w:t>coefficiente per la valorizzazione di modifiche del perimetro gestionale con riferimento ad aspetti tecnici e/o operativi): valore pari a 0,00;</w:t>
      </w:r>
    </w:p>
    <w:p w14:paraId="3DD09908" w14:textId="77777777" w:rsidR="00AC56EF" w:rsidRPr="00926607" w:rsidRDefault="00AC56EF" w:rsidP="00926607">
      <w:pPr>
        <w:widowControl/>
        <w:numPr>
          <w:ilvl w:val="1"/>
          <w:numId w:val="5"/>
        </w:numPr>
        <w:tabs>
          <w:tab w:val="clear" w:pos="1080"/>
        </w:tabs>
        <w:suppressAutoHyphens w:val="0"/>
        <w:autoSpaceDN/>
        <w:spacing w:line="360" w:lineRule="auto"/>
        <w:ind w:left="567" w:hanging="284"/>
        <w:jc w:val="both"/>
        <w:textAlignment w:val="auto"/>
        <w:rPr>
          <w:rFonts w:cs="Times New Roman"/>
          <w:bCs/>
          <w:sz w:val="22"/>
          <w:szCs w:val="22"/>
        </w:rPr>
      </w:pPr>
      <w:r w:rsidRPr="00926607">
        <w:rPr>
          <w:rFonts w:cs="Times New Roman"/>
          <w:bCs/>
          <w:sz w:val="22"/>
          <w:szCs w:val="22"/>
        </w:rPr>
        <w:t>(</w:t>
      </w:r>
      <w:r w:rsidRPr="00926607">
        <w:rPr>
          <w:rFonts w:cs="Times New Roman"/>
          <w:b/>
          <w:sz w:val="22"/>
          <w:szCs w:val="22"/>
        </w:rPr>
        <w:t>C19</w:t>
      </w:r>
      <w:r w:rsidRPr="00926607">
        <w:rPr>
          <w:rFonts w:cs="Times New Roman"/>
          <w:b/>
          <w:sz w:val="22"/>
          <w:szCs w:val="22"/>
          <w:vertAlign w:val="subscript"/>
        </w:rPr>
        <w:t>2020</w:t>
      </w:r>
      <w:r w:rsidRPr="00926607">
        <w:rPr>
          <w:rFonts w:cs="Times New Roman"/>
          <w:b/>
          <w:sz w:val="22"/>
          <w:szCs w:val="22"/>
        </w:rPr>
        <w:t>)</w:t>
      </w:r>
      <w:r w:rsidRPr="00926607">
        <w:rPr>
          <w:rFonts w:cs="Times New Roman"/>
          <w:bCs/>
          <w:sz w:val="22"/>
          <w:szCs w:val="22"/>
        </w:rPr>
        <w:t xml:space="preserve"> coefficiente per l'emergenza COVID-19: valore pari a 0,00%;</w:t>
      </w:r>
    </w:p>
    <w:p w14:paraId="068B9F5A" w14:textId="77777777" w:rsidR="00AC56EF" w:rsidRPr="00926607" w:rsidRDefault="00AC56EF" w:rsidP="00926607">
      <w:pPr>
        <w:widowControl/>
        <w:numPr>
          <w:ilvl w:val="1"/>
          <w:numId w:val="5"/>
        </w:numPr>
        <w:tabs>
          <w:tab w:val="clear" w:pos="1080"/>
        </w:tabs>
        <w:suppressAutoHyphens w:val="0"/>
        <w:autoSpaceDN/>
        <w:spacing w:line="360" w:lineRule="auto"/>
        <w:ind w:left="567" w:hanging="284"/>
        <w:jc w:val="both"/>
        <w:textAlignment w:val="auto"/>
        <w:rPr>
          <w:rFonts w:cs="Times New Roman"/>
          <w:sz w:val="22"/>
          <w:szCs w:val="22"/>
        </w:rPr>
      </w:pPr>
      <w:r w:rsidRPr="00926607">
        <w:rPr>
          <w:rFonts w:cs="Times New Roman"/>
          <w:b/>
          <w:sz w:val="22"/>
          <w:szCs w:val="22"/>
        </w:rPr>
        <w:t>coefficiente</w:t>
      </w:r>
      <w:r w:rsidRPr="00926607">
        <w:rPr>
          <w:rFonts w:cs="Times New Roman"/>
          <w:sz w:val="22"/>
          <w:szCs w:val="22"/>
        </w:rPr>
        <w:t xml:space="preserve"> di gradualità (1 + </w:t>
      </w:r>
      <w:r w:rsidRPr="00926607">
        <w:rPr>
          <w:rFonts w:ascii="Cambria Math" w:hAnsi="Cambria Math" w:cs="Cambria Math"/>
          <w:sz w:val="22"/>
          <w:szCs w:val="22"/>
        </w:rPr>
        <w:t>𝜸𝛂</w:t>
      </w:r>
      <w:r w:rsidRPr="00926607">
        <w:rPr>
          <w:rFonts w:cs="Times New Roman"/>
          <w:sz w:val="22"/>
          <w:szCs w:val="22"/>
        </w:rPr>
        <w:t xml:space="preserve">), dato dalla seguente somma: </w:t>
      </w:r>
      <w:r w:rsidRPr="00926607">
        <w:rPr>
          <w:rFonts w:ascii="Cambria Math" w:hAnsi="Cambria Math" w:cs="Cambria Math"/>
          <w:sz w:val="22"/>
          <w:szCs w:val="22"/>
        </w:rPr>
        <w:t>𝜸𝛂</w:t>
      </w:r>
      <w:r w:rsidRPr="00926607">
        <w:rPr>
          <w:rFonts w:cs="Times New Roman"/>
          <w:sz w:val="22"/>
          <w:szCs w:val="22"/>
        </w:rPr>
        <w:t xml:space="preserve"> = </w:t>
      </w:r>
      <w:r w:rsidRPr="00926607">
        <w:rPr>
          <w:rFonts w:ascii="Cambria Math" w:hAnsi="Cambria Math" w:cs="Cambria Math"/>
          <w:sz w:val="22"/>
          <w:szCs w:val="22"/>
        </w:rPr>
        <w:t>𝜸𝟏𝛂</w:t>
      </w:r>
      <w:r w:rsidRPr="00926607">
        <w:rPr>
          <w:rFonts w:cs="Times New Roman"/>
          <w:sz w:val="22"/>
          <w:szCs w:val="22"/>
        </w:rPr>
        <w:t xml:space="preserve"> + </w:t>
      </w:r>
      <w:r w:rsidRPr="00926607">
        <w:rPr>
          <w:rFonts w:ascii="Cambria Math" w:hAnsi="Cambria Math" w:cs="Cambria Math"/>
          <w:sz w:val="22"/>
          <w:szCs w:val="22"/>
        </w:rPr>
        <w:t>𝜸𝟐𝛂</w:t>
      </w:r>
      <w:r w:rsidRPr="00926607">
        <w:rPr>
          <w:rFonts w:cs="Times New Roman"/>
          <w:sz w:val="22"/>
          <w:szCs w:val="22"/>
        </w:rPr>
        <w:t xml:space="preserve">+ </w:t>
      </w:r>
      <w:r w:rsidRPr="00926607">
        <w:rPr>
          <w:rFonts w:ascii="Cambria Math" w:hAnsi="Cambria Math" w:cs="Cambria Math"/>
          <w:sz w:val="22"/>
          <w:szCs w:val="22"/>
        </w:rPr>
        <w:t>𝜸𝟑</w:t>
      </w:r>
      <w:r w:rsidRPr="00926607">
        <w:rPr>
          <w:rFonts w:cs="Times New Roman"/>
          <w:sz w:val="22"/>
          <w:szCs w:val="22"/>
        </w:rPr>
        <w:t xml:space="preserve"> dove:</w:t>
      </w:r>
    </w:p>
    <w:p w14:paraId="356CF233" w14:textId="1CC88B38" w:rsidR="00AC56EF" w:rsidRPr="00926607" w:rsidRDefault="009F4F64" w:rsidP="00926607">
      <w:pPr>
        <w:widowControl/>
        <w:numPr>
          <w:ilvl w:val="0"/>
          <w:numId w:val="6"/>
        </w:numPr>
        <w:suppressAutoHyphens w:val="0"/>
        <w:autoSpaceDN/>
        <w:spacing w:line="360" w:lineRule="auto"/>
        <w:ind w:hanging="654"/>
        <w:jc w:val="both"/>
        <w:textAlignment w:val="auto"/>
        <w:rPr>
          <w:rFonts w:cs="Times New Roman"/>
          <w:sz w:val="22"/>
          <w:szCs w:val="22"/>
        </w:rPr>
      </w:pPr>
      <m:oMath>
        <m:sSub>
          <m:sSubPr>
            <m:ctrlPr>
              <w:rPr>
                <w:rFonts w:ascii="Cambria Math" w:eastAsia="Times New Roman" w:hAnsi="Cambria Math" w:cs="Times New Roman"/>
                <w:b/>
                <w:bCs/>
                <w:i/>
                <w:iCs/>
                <w:color w:val="000000"/>
                <w:kern w:val="24"/>
                <w:sz w:val="22"/>
                <w:szCs w:val="22"/>
              </w:rPr>
            </m:ctrlPr>
          </m:sSubPr>
          <m:e>
            <m:r>
              <m:rPr>
                <m:sty m:val="bi"/>
              </m:rPr>
              <w:rPr>
                <w:rFonts w:ascii="Cambria Math" w:eastAsia="Cambria Math" w:hAnsi="Cambria Math" w:cs="Times New Roman"/>
                <w:color w:val="000000"/>
                <w:kern w:val="24"/>
                <w:sz w:val="22"/>
                <w:szCs w:val="22"/>
              </w:rPr>
              <m:t>γ</m:t>
            </m:r>
          </m:e>
          <m:sub>
            <m:r>
              <m:rPr>
                <m:sty m:val="bi"/>
              </m:rPr>
              <w:rPr>
                <w:rFonts w:ascii="Cambria Math" w:eastAsia="Times New Roman" w:hAnsi="Cambria Math" w:cs="Times New Roman"/>
                <w:color w:val="000000"/>
                <w:kern w:val="24"/>
                <w:sz w:val="22"/>
                <w:szCs w:val="22"/>
              </w:rPr>
              <m:t>1,a</m:t>
            </m:r>
          </m:sub>
        </m:sSub>
      </m:oMath>
      <w:r w:rsidR="00AC56EF" w:rsidRPr="00926607">
        <w:rPr>
          <w:rFonts w:cs="Times New Roman"/>
          <w:sz w:val="22"/>
          <w:szCs w:val="22"/>
        </w:rPr>
        <w:t xml:space="preserve"> - Valutazione rispetto agli obiettivi RD%: -0,25</w:t>
      </w:r>
    </w:p>
    <w:p w14:paraId="2F945257" w14:textId="796B5E4D" w:rsidR="00AC56EF" w:rsidRPr="00926607" w:rsidRDefault="009F4F64" w:rsidP="00926607">
      <w:pPr>
        <w:widowControl/>
        <w:numPr>
          <w:ilvl w:val="0"/>
          <w:numId w:val="6"/>
        </w:numPr>
        <w:suppressAutoHyphens w:val="0"/>
        <w:autoSpaceDN/>
        <w:spacing w:line="360" w:lineRule="auto"/>
        <w:ind w:hanging="654"/>
        <w:jc w:val="both"/>
        <w:textAlignment w:val="auto"/>
        <w:rPr>
          <w:rFonts w:cs="Times New Roman"/>
          <w:sz w:val="22"/>
          <w:szCs w:val="22"/>
        </w:rPr>
      </w:pPr>
      <m:oMath>
        <m:sSub>
          <m:sSubPr>
            <m:ctrlPr>
              <w:rPr>
                <w:rFonts w:ascii="Cambria Math" w:eastAsia="Times New Roman" w:hAnsi="Cambria Math" w:cs="Times New Roman"/>
                <w:b/>
                <w:bCs/>
                <w:i/>
                <w:iCs/>
                <w:color w:val="000000"/>
                <w:kern w:val="24"/>
                <w:sz w:val="22"/>
                <w:szCs w:val="22"/>
              </w:rPr>
            </m:ctrlPr>
          </m:sSubPr>
          <m:e>
            <m:r>
              <m:rPr>
                <m:sty m:val="bi"/>
              </m:rPr>
              <w:rPr>
                <w:rFonts w:ascii="Cambria Math" w:eastAsia="Cambria Math" w:hAnsi="Cambria Math" w:cs="Times New Roman"/>
                <w:color w:val="000000"/>
                <w:kern w:val="24"/>
                <w:sz w:val="22"/>
                <w:szCs w:val="22"/>
              </w:rPr>
              <m:t>γ</m:t>
            </m:r>
          </m:e>
          <m:sub>
            <m:r>
              <m:rPr>
                <m:sty m:val="bi"/>
              </m:rPr>
              <w:rPr>
                <w:rFonts w:ascii="Cambria Math" w:eastAsia="Times New Roman" w:hAnsi="Cambria Math" w:cs="Times New Roman"/>
                <w:color w:val="000000"/>
                <w:kern w:val="24"/>
                <w:sz w:val="22"/>
                <w:szCs w:val="22"/>
              </w:rPr>
              <m:t>2,a</m:t>
            </m:r>
          </m:sub>
        </m:sSub>
      </m:oMath>
      <w:r w:rsidR="00AC56EF" w:rsidRPr="00926607">
        <w:rPr>
          <w:rFonts w:cs="Times New Roman"/>
          <w:sz w:val="22"/>
          <w:szCs w:val="22"/>
        </w:rPr>
        <w:t xml:space="preserve"> Valutazione rispetto all’efficacia dell’attività di preparazione per il riutilizzo e riciclo: -0,20</w:t>
      </w:r>
    </w:p>
    <w:p w14:paraId="682795D7" w14:textId="38E39842" w:rsidR="00AC56EF" w:rsidRPr="00926607" w:rsidRDefault="009F4F64" w:rsidP="00926607">
      <w:pPr>
        <w:widowControl/>
        <w:numPr>
          <w:ilvl w:val="0"/>
          <w:numId w:val="6"/>
        </w:numPr>
        <w:suppressAutoHyphens w:val="0"/>
        <w:autoSpaceDN/>
        <w:spacing w:line="360" w:lineRule="auto"/>
        <w:ind w:hanging="654"/>
        <w:jc w:val="both"/>
        <w:textAlignment w:val="auto"/>
        <w:rPr>
          <w:rFonts w:cs="Times New Roman"/>
          <w:sz w:val="22"/>
          <w:szCs w:val="22"/>
        </w:rPr>
      </w:pPr>
      <m:oMath>
        <m:sSub>
          <m:sSubPr>
            <m:ctrlPr>
              <w:rPr>
                <w:rFonts w:ascii="Cambria Math" w:eastAsia="Times New Roman" w:hAnsi="Cambria Math" w:cs="Times New Roman"/>
                <w:b/>
                <w:bCs/>
                <w:i/>
                <w:iCs/>
                <w:color w:val="000000"/>
                <w:kern w:val="24"/>
                <w:sz w:val="22"/>
                <w:szCs w:val="22"/>
              </w:rPr>
            </m:ctrlPr>
          </m:sSubPr>
          <m:e>
            <m:r>
              <m:rPr>
                <m:sty m:val="bi"/>
              </m:rPr>
              <w:rPr>
                <w:rFonts w:ascii="Cambria Math" w:eastAsia="Cambria Math" w:hAnsi="Cambria Math" w:cs="Times New Roman"/>
                <w:color w:val="000000"/>
                <w:kern w:val="24"/>
                <w:sz w:val="22"/>
                <w:szCs w:val="22"/>
              </w:rPr>
              <m:t>γ</m:t>
            </m:r>
          </m:e>
          <m:sub>
            <m:r>
              <m:rPr>
                <m:sty m:val="bi"/>
              </m:rPr>
              <w:rPr>
                <w:rFonts w:ascii="Cambria Math" w:eastAsia="Times New Roman" w:hAnsi="Cambria Math" w:cs="Times New Roman"/>
                <w:color w:val="000000"/>
                <w:kern w:val="24"/>
                <w:sz w:val="22"/>
                <w:szCs w:val="22"/>
              </w:rPr>
              <m:t>3,a</m:t>
            </m:r>
          </m:sub>
        </m:sSub>
      </m:oMath>
      <w:r w:rsidR="00AC56EF" w:rsidRPr="00926607">
        <w:rPr>
          <w:rFonts w:cs="Times New Roman"/>
          <w:sz w:val="22"/>
          <w:szCs w:val="22"/>
        </w:rPr>
        <w:t xml:space="preserve"> Valutazione rispetto alla soddisfazione degli utenti del servizio: -0,05</w:t>
      </w:r>
    </w:p>
    <w:p w14:paraId="51AC48D3" w14:textId="77777777" w:rsidR="00AC56EF" w:rsidRPr="00926607" w:rsidRDefault="00AC56EF" w:rsidP="00926607">
      <w:pPr>
        <w:numPr>
          <w:ilvl w:val="0"/>
          <w:numId w:val="5"/>
        </w:numPr>
        <w:tabs>
          <w:tab w:val="clear" w:pos="360"/>
        </w:tabs>
        <w:suppressAutoHyphens w:val="0"/>
        <w:autoSpaceDE w:val="0"/>
        <w:adjustRightInd w:val="0"/>
        <w:spacing w:line="360" w:lineRule="auto"/>
        <w:ind w:left="284" w:hanging="284"/>
        <w:jc w:val="both"/>
        <w:textAlignment w:val="auto"/>
        <w:rPr>
          <w:rFonts w:cs="Times New Roman"/>
          <w:sz w:val="22"/>
          <w:szCs w:val="22"/>
        </w:rPr>
      </w:pPr>
      <w:r w:rsidRPr="00926607">
        <w:rPr>
          <w:rFonts w:cs="Times New Roman"/>
          <w:sz w:val="22"/>
          <w:szCs w:val="22"/>
        </w:rPr>
        <w:t>di validare, di conseguenza, ai sensi e per gli effetti di cui alla Delibera n. 443/2019 di ARERA, il Piano Economico Finanziario ed i documenti ad esso allegati, riportati nell’allegato “A”, quale parte integrante e sostanziale della presente;</w:t>
      </w:r>
    </w:p>
    <w:p w14:paraId="597299D2" w14:textId="3B1FA5FD" w:rsidR="00AC56EF" w:rsidRPr="00926607" w:rsidRDefault="00AC56EF" w:rsidP="00926607">
      <w:pPr>
        <w:numPr>
          <w:ilvl w:val="0"/>
          <w:numId w:val="5"/>
        </w:numPr>
        <w:tabs>
          <w:tab w:val="clear" w:pos="360"/>
        </w:tabs>
        <w:suppressAutoHyphens w:val="0"/>
        <w:autoSpaceDE w:val="0"/>
        <w:adjustRightInd w:val="0"/>
        <w:spacing w:line="360" w:lineRule="auto"/>
        <w:ind w:left="284" w:hanging="284"/>
        <w:jc w:val="both"/>
        <w:textAlignment w:val="auto"/>
        <w:rPr>
          <w:rFonts w:cs="Times New Roman"/>
          <w:sz w:val="22"/>
          <w:szCs w:val="22"/>
        </w:rPr>
      </w:pPr>
      <w:bookmarkStart w:id="0" w:name="_Hlk54190458"/>
      <w:r w:rsidRPr="00926607">
        <w:rPr>
          <w:rFonts w:cs="Times New Roman"/>
          <w:sz w:val="22"/>
          <w:szCs w:val="22"/>
        </w:rPr>
        <w:t xml:space="preserve">di quantificare in euro </w:t>
      </w:r>
      <w:r w:rsidR="0015151E" w:rsidRPr="00926607">
        <w:rPr>
          <w:rFonts w:cs="Times New Roman"/>
          <w:sz w:val="22"/>
          <w:szCs w:val="22"/>
        </w:rPr>
        <w:t>___________</w:t>
      </w:r>
      <w:r w:rsidRPr="00926607">
        <w:rPr>
          <w:rFonts w:cs="Times New Roman"/>
          <w:sz w:val="22"/>
          <w:szCs w:val="22"/>
        </w:rPr>
        <w:t xml:space="preserve"> il gettito complessivo della tassa rifiuti (TARI) dando atto che, in via previsionale, viene assicurata l’integrale copertura dei costi del servizio, quale risulta dal Piano Economico Finanziario di cui al punto sub 2) del deliberato, al netto delle Entrate di cui all’Articolo 1.4 della Determinazione </w:t>
      </w:r>
      <w:proofErr w:type="spellStart"/>
      <w:r w:rsidRPr="00926607">
        <w:rPr>
          <w:rFonts w:cs="Times New Roman"/>
          <w:sz w:val="22"/>
          <w:szCs w:val="22"/>
        </w:rPr>
        <w:t>Arera</w:t>
      </w:r>
      <w:proofErr w:type="spellEnd"/>
      <w:r w:rsidRPr="00926607">
        <w:rPr>
          <w:rFonts w:cs="Times New Roman"/>
          <w:sz w:val="22"/>
          <w:szCs w:val="22"/>
        </w:rPr>
        <w:t xml:space="preserve"> n. 02/DRIF/2020;</w:t>
      </w:r>
    </w:p>
    <w:bookmarkEnd w:id="0"/>
    <w:p w14:paraId="1C83FEF5" w14:textId="77777777" w:rsidR="00AC56EF" w:rsidRPr="00926607" w:rsidRDefault="00AC56EF" w:rsidP="00926607">
      <w:pPr>
        <w:numPr>
          <w:ilvl w:val="0"/>
          <w:numId w:val="5"/>
        </w:numPr>
        <w:tabs>
          <w:tab w:val="clear" w:pos="360"/>
        </w:tabs>
        <w:suppressAutoHyphens w:val="0"/>
        <w:autoSpaceDE w:val="0"/>
        <w:adjustRightInd w:val="0"/>
        <w:spacing w:line="360" w:lineRule="auto"/>
        <w:ind w:left="284" w:hanging="284"/>
        <w:jc w:val="both"/>
        <w:textAlignment w:val="auto"/>
        <w:rPr>
          <w:rFonts w:cs="Times New Roman"/>
          <w:sz w:val="22"/>
          <w:szCs w:val="22"/>
        </w:rPr>
      </w:pPr>
      <w:r w:rsidRPr="00926607">
        <w:rPr>
          <w:rFonts w:cs="Times New Roman"/>
          <w:sz w:val="22"/>
          <w:szCs w:val="22"/>
        </w:rPr>
        <w:t xml:space="preserve">di trasmettere il Piano Economico finanziario e i documenti allo stesso allegati ad ARERA ai fini dell’approvazione a norma ai sensi dell’art. 6.5 della Deliberazione n. 443/2019, dando atto che a norma dell’art. 2.4 della Deliberazione n. 57/2020 </w:t>
      </w:r>
      <w:r w:rsidRPr="00926607">
        <w:rPr>
          <w:rFonts w:cs="Times New Roman"/>
          <w:i/>
          <w:sz w:val="22"/>
          <w:szCs w:val="22"/>
        </w:rPr>
        <w:t>“…. Nelle more dell’approvazione da parte dell’Autorità, si applicano le decisioni assunte dall’Ente territorialmente competente, ivi comprese quelle assunte dai comuni con riferimento ai piani economico finanziari e ai corrispettivi del servizio integrato dei rifiuti, o dei singoli servizi che costituiscono attività di gestione</w:t>
      </w:r>
      <w:r w:rsidRPr="00926607">
        <w:rPr>
          <w:rFonts w:cs="Times New Roman"/>
          <w:sz w:val="22"/>
          <w:szCs w:val="22"/>
        </w:rPr>
        <w:t xml:space="preserve"> …”;</w:t>
      </w:r>
    </w:p>
    <w:p w14:paraId="0ED8C58A" w14:textId="77777777" w:rsidR="00AC56EF" w:rsidRPr="00926607" w:rsidRDefault="00AC56EF" w:rsidP="00926607">
      <w:pPr>
        <w:spacing w:line="360" w:lineRule="auto"/>
        <w:jc w:val="center"/>
        <w:rPr>
          <w:rFonts w:cs="Times New Roman"/>
          <w:b/>
          <w:sz w:val="22"/>
          <w:szCs w:val="22"/>
        </w:rPr>
      </w:pPr>
    </w:p>
    <w:p w14:paraId="2D1EEC04" w14:textId="77777777" w:rsidR="00AC56EF" w:rsidRPr="00926607" w:rsidRDefault="00AC56EF" w:rsidP="00926607">
      <w:pPr>
        <w:spacing w:line="360" w:lineRule="auto"/>
        <w:jc w:val="center"/>
        <w:rPr>
          <w:rFonts w:cs="Times New Roman"/>
          <w:sz w:val="22"/>
          <w:szCs w:val="22"/>
        </w:rPr>
      </w:pPr>
      <w:r w:rsidRPr="00926607">
        <w:rPr>
          <w:rFonts w:cs="Times New Roman"/>
          <w:b/>
          <w:sz w:val="22"/>
          <w:szCs w:val="22"/>
        </w:rPr>
        <w:t>DELIBERA</w:t>
      </w:r>
    </w:p>
    <w:p w14:paraId="165127BA" w14:textId="32CADD4D" w:rsidR="00AC56EF" w:rsidRPr="007F61CF" w:rsidRDefault="00AC56EF" w:rsidP="00926607">
      <w:pPr>
        <w:autoSpaceDE w:val="0"/>
        <w:spacing w:before="120" w:after="120" w:line="360" w:lineRule="auto"/>
        <w:jc w:val="both"/>
        <w:rPr>
          <w:rFonts w:cs="Times New Roman"/>
          <w:sz w:val="22"/>
          <w:szCs w:val="22"/>
        </w:rPr>
      </w:pPr>
      <w:r w:rsidRPr="00926607">
        <w:rPr>
          <w:rFonts w:cs="Times New Roman"/>
          <w:sz w:val="22"/>
          <w:szCs w:val="22"/>
        </w:rPr>
        <w:t xml:space="preserve">di dichiarare il </w:t>
      </w:r>
      <w:r w:rsidRPr="00926607">
        <w:rPr>
          <w:rFonts w:cs="Times New Roman"/>
          <w:spacing w:val="-6"/>
          <w:sz w:val="22"/>
          <w:szCs w:val="22"/>
        </w:rPr>
        <w:t>presente</w:t>
      </w:r>
      <w:r w:rsidRPr="00926607">
        <w:rPr>
          <w:rFonts w:cs="Times New Roman"/>
          <w:sz w:val="22"/>
          <w:szCs w:val="22"/>
        </w:rPr>
        <w:t xml:space="preserve"> provvedimento immediatamente eseguibile, ai sensi </w:t>
      </w:r>
      <w:hyperlink r:id="rId18" w:history="1">
        <w:r w:rsidRPr="004C124E">
          <w:rPr>
            <w:rStyle w:val="Collegamentoipertestuale"/>
            <w:rFonts w:cs="Times New Roman"/>
            <w:sz w:val="22"/>
            <w:szCs w:val="22"/>
          </w:rPr>
          <w:t xml:space="preserve">dell’articolo 134, comma 4, del </w:t>
        </w:r>
        <w:proofErr w:type="spellStart"/>
        <w:r w:rsidRPr="004C124E">
          <w:rPr>
            <w:rStyle w:val="Collegamentoipertestuale"/>
            <w:rFonts w:cs="Times New Roman"/>
            <w:sz w:val="22"/>
            <w:szCs w:val="22"/>
          </w:rPr>
          <w:lastRenderedPageBreak/>
          <w:t>D.lgs</w:t>
        </w:r>
        <w:proofErr w:type="spellEnd"/>
        <w:r w:rsidRPr="004C124E">
          <w:rPr>
            <w:rStyle w:val="Collegamentoipertestuale"/>
            <w:rFonts w:cs="Times New Roman"/>
            <w:sz w:val="22"/>
            <w:szCs w:val="22"/>
          </w:rPr>
          <w:t xml:space="preserve"> n. 267/2000</w:t>
        </w:r>
      </w:hyperlink>
      <w:r w:rsidRPr="00926607">
        <w:rPr>
          <w:rFonts w:cs="Times New Roman"/>
          <w:sz w:val="22"/>
          <w:szCs w:val="22"/>
        </w:rPr>
        <w:t>.</w:t>
      </w:r>
    </w:p>
    <w:p w14:paraId="784C9212" w14:textId="77777777" w:rsidR="00575C1E" w:rsidRPr="00AC56EF" w:rsidRDefault="00575C1E" w:rsidP="00926607">
      <w:pPr>
        <w:pStyle w:val="Standard"/>
        <w:autoSpaceDE w:val="0"/>
        <w:spacing w:line="360" w:lineRule="auto"/>
        <w:jc w:val="both"/>
        <w:rPr>
          <w:strike/>
        </w:rPr>
      </w:pPr>
    </w:p>
    <w:p w14:paraId="784C9213" w14:textId="77777777" w:rsidR="00575C1E" w:rsidRDefault="00575C1E" w:rsidP="00926607">
      <w:pPr>
        <w:pStyle w:val="Text"/>
        <w:spacing w:line="360" w:lineRule="auto"/>
        <w:jc w:val="both"/>
      </w:pPr>
    </w:p>
    <w:sectPr w:rsidR="00575C1E" w:rsidSect="00575C1E">
      <w:headerReference w:type="default" r:id="rId1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C836" w14:textId="77777777" w:rsidR="009F4F64" w:rsidRDefault="009F4F64" w:rsidP="00575C1E">
      <w:r>
        <w:separator/>
      </w:r>
    </w:p>
  </w:endnote>
  <w:endnote w:type="continuationSeparator" w:id="0">
    <w:p w14:paraId="57E06865" w14:textId="77777777" w:rsidR="009F4F64" w:rsidRDefault="009F4F64" w:rsidP="0057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C29E" w14:textId="77777777" w:rsidR="009F4F64" w:rsidRDefault="009F4F64" w:rsidP="00575C1E">
      <w:r w:rsidRPr="00575C1E">
        <w:rPr>
          <w:color w:val="000000"/>
        </w:rPr>
        <w:separator/>
      </w:r>
    </w:p>
  </w:footnote>
  <w:footnote w:type="continuationSeparator" w:id="0">
    <w:p w14:paraId="6155392C" w14:textId="77777777" w:rsidR="009F4F64" w:rsidRDefault="009F4F64" w:rsidP="00575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EEB9" w14:textId="7B29B600" w:rsidR="00295DC1" w:rsidRDefault="00295DC1" w:rsidP="00295DC1">
    <w:pPr>
      <w:pStyle w:val="Intestazione"/>
      <w:jc w:val="center"/>
    </w:pPr>
    <w:r w:rsidRPr="006C3FC8">
      <w:rPr>
        <w:noProof/>
      </w:rPr>
      <w:drawing>
        <wp:inline distT="0" distB="0" distL="0" distR="0" wp14:anchorId="79923EE3" wp14:editId="7A838545">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3E36A723" w14:textId="77777777" w:rsidR="00295DC1" w:rsidRDefault="00295D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1BED"/>
    <w:multiLevelType w:val="hybridMultilevel"/>
    <w:tmpl w:val="D2022DEE"/>
    <w:lvl w:ilvl="0" w:tplc="FFFFFFFF">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91653"/>
    <w:multiLevelType w:val="hybridMultilevel"/>
    <w:tmpl w:val="097C2BD8"/>
    <w:lvl w:ilvl="0" w:tplc="931AE788">
      <w:start w:val="3"/>
      <w:numFmt w:val="bullet"/>
      <w:lvlText w:val=""/>
      <w:lvlJc w:val="left"/>
      <w:pPr>
        <w:ind w:left="1080" w:hanging="360"/>
      </w:pPr>
      <w:rPr>
        <w:rFonts w:ascii="Wingdings" w:eastAsia="Times New Roman" w:hAnsi="Wingdings"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88111BA"/>
    <w:multiLevelType w:val="hybridMultilevel"/>
    <w:tmpl w:val="1AEC4A68"/>
    <w:lvl w:ilvl="0" w:tplc="04100011">
      <w:start w:val="1"/>
      <w:numFmt w:val="decimal"/>
      <w:lvlText w:val="%1)"/>
      <w:lvlJc w:val="left"/>
      <w:pPr>
        <w:tabs>
          <w:tab w:val="num" w:pos="360"/>
        </w:tabs>
        <w:ind w:left="360" w:hanging="360"/>
      </w:pPr>
      <w:rPr>
        <w:rFonts w:hint="default"/>
      </w:rPr>
    </w:lvl>
    <w:lvl w:ilvl="1" w:tplc="EC004116">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34C35843"/>
    <w:multiLevelType w:val="hybridMultilevel"/>
    <w:tmpl w:val="8102BCA2"/>
    <w:lvl w:ilvl="0" w:tplc="00000003">
      <w:numFmt w:val="bullet"/>
      <w:lvlText w:val="-"/>
      <w:lvlJc w:val="left"/>
      <w:pPr>
        <w:tabs>
          <w:tab w:val="num" w:pos="360"/>
        </w:tabs>
        <w:ind w:left="360" w:hanging="360"/>
      </w:pPr>
      <w:rPr>
        <w:rFonts w:ascii="Arial" w:hAnsi="Aria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3D33B6A"/>
    <w:multiLevelType w:val="multilevel"/>
    <w:tmpl w:val="29B215D0"/>
    <w:styleLink w:val="WW8Num1"/>
    <w:lvl w:ilvl="0">
      <w:numFmt w:val="bullet"/>
      <w:lvlText w:val="-"/>
      <w:lvlJc w:val="left"/>
      <w:rPr>
        <w:rFonts w:ascii="Times New Roman" w:eastAsia="Times New Roman" w:hAnsi="Times New Roman" w:cs="Times New Roman"/>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4"/>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1E"/>
    <w:rsid w:val="000C283F"/>
    <w:rsid w:val="00146C0E"/>
    <w:rsid w:val="0015151E"/>
    <w:rsid w:val="001E61F1"/>
    <w:rsid w:val="0024435A"/>
    <w:rsid w:val="00286035"/>
    <w:rsid w:val="00295DC1"/>
    <w:rsid w:val="003063B9"/>
    <w:rsid w:val="004C124E"/>
    <w:rsid w:val="004F0332"/>
    <w:rsid w:val="00502DFD"/>
    <w:rsid w:val="0055590B"/>
    <w:rsid w:val="005753CC"/>
    <w:rsid w:val="00575C1E"/>
    <w:rsid w:val="00926607"/>
    <w:rsid w:val="00930AD2"/>
    <w:rsid w:val="009F07B5"/>
    <w:rsid w:val="009F4F64"/>
    <w:rsid w:val="00A62EF1"/>
    <w:rsid w:val="00A87181"/>
    <w:rsid w:val="00AB53A4"/>
    <w:rsid w:val="00AC56EF"/>
    <w:rsid w:val="00B9676C"/>
    <w:rsid w:val="00BF3BCD"/>
    <w:rsid w:val="00D537A6"/>
    <w:rsid w:val="00F25C3B"/>
    <w:rsid w:val="00FA0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91DC"/>
  <w15:docId w15:val="{02974A4A-3E0C-45EE-94E2-608FA6BD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71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75C1E"/>
  </w:style>
  <w:style w:type="paragraph" w:customStyle="1" w:styleId="Heading">
    <w:name w:val="Heading"/>
    <w:basedOn w:val="Standard"/>
    <w:next w:val="Textbody"/>
    <w:rsid w:val="00575C1E"/>
    <w:pPr>
      <w:keepNext/>
      <w:spacing w:before="240" w:after="120"/>
    </w:pPr>
    <w:rPr>
      <w:rFonts w:ascii="Arial" w:eastAsia="Microsoft YaHei" w:hAnsi="Arial"/>
      <w:sz w:val="28"/>
      <w:szCs w:val="28"/>
    </w:rPr>
  </w:style>
  <w:style w:type="paragraph" w:customStyle="1" w:styleId="Textbody">
    <w:name w:val="Text body"/>
    <w:basedOn w:val="Standard"/>
    <w:rsid w:val="00575C1E"/>
    <w:pPr>
      <w:spacing w:after="120"/>
    </w:pPr>
  </w:style>
  <w:style w:type="paragraph" w:styleId="Elenco">
    <w:name w:val="List"/>
    <w:basedOn w:val="Textbody"/>
    <w:rsid w:val="00575C1E"/>
  </w:style>
  <w:style w:type="paragraph" w:customStyle="1" w:styleId="Didascalia1">
    <w:name w:val="Didascalia1"/>
    <w:basedOn w:val="Standard"/>
    <w:rsid w:val="00575C1E"/>
    <w:pPr>
      <w:suppressLineNumbers/>
      <w:spacing w:before="120" w:after="120"/>
    </w:pPr>
    <w:rPr>
      <w:i/>
      <w:iCs/>
    </w:rPr>
  </w:style>
  <w:style w:type="paragraph" w:customStyle="1" w:styleId="Index">
    <w:name w:val="Index"/>
    <w:basedOn w:val="Standard"/>
    <w:rsid w:val="00575C1E"/>
    <w:pPr>
      <w:suppressLineNumbers/>
    </w:pPr>
  </w:style>
  <w:style w:type="paragraph" w:customStyle="1" w:styleId="Text">
    <w:name w:val="Text"/>
    <w:rsid w:val="00575C1E"/>
    <w:pPr>
      <w:widowControl/>
    </w:pPr>
    <w:rPr>
      <w:rFonts w:eastAsia="Times New Roman" w:cs="Times New Roman"/>
      <w:sz w:val="20"/>
      <w:szCs w:val="20"/>
      <w:lang w:bidi="ar-SA"/>
    </w:rPr>
  </w:style>
  <w:style w:type="paragraph" w:styleId="Paragrafoelenco">
    <w:name w:val="List Paragraph"/>
    <w:basedOn w:val="Standard"/>
    <w:rsid w:val="00575C1E"/>
    <w:pPr>
      <w:ind w:left="708"/>
    </w:pPr>
  </w:style>
  <w:style w:type="character" w:customStyle="1" w:styleId="WW8Num1z0">
    <w:name w:val="WW8Num1z0"/>
    <w:rsid w:val="00575C1E"/>
    <w:rPr>
      <w:rFonts w:ascii="Times New Roman" w:eastAsia="Times New Roman" w:hAnsi="Times New Roman" w:cs="Times New Roman"/>
      <w:sz w:val="22"/>
    </w:rPr>
  </w:style>
  <w:style w:type="character" w:customStyle="1" w:styleId="WW8Num1z1">
    <w:name w:val="WW8Num1z1"/>
    <w:rsid w:val="00575C1E"/>
    <w:rPr>
      <w:rFonts w:ascii="Courier New" w:hAnsi="Courier New" w:cs="Courier New"/>
    </w:rPr>
  </w:style>
  <w:style w:type="character" w:customStyle="1" w:styleId="WW8Num1z2">
    <w:name w:val="WW8Num1z2"/>
    <w:rsid w:val="00575C1E"/>
    <w:rPr>
      <w:rFonts w:ascii="Wingdings" w:hAnsi="Wingdings" w:cs="Wingdings"/>
    </w:rPr>
  </w:style>
  <w:style w:type="character" w:customStyle="1" w:styleId="WW8Num1z3">
    <w:name w:val="WW8Num1z3"/>
    <w:rsid w:val="00575C1E"/>
    <w:rPr>
      <w:rFonts w:ascii="Symbol" w:hAnsi="Symbol" w:cs="Symbol"/>
    </w:rPr>
  </w:style>
  <w:style w:type="numbering" w:customStyle="1" w:styleId="WW8Num1">
    <w:name w:val="WW8Num1"/>
    <w:basedOn w:val="Nessunelenco"/>
    <w:rsid w:val="00575C1E"/>
    <w:pPr>
      <w:numPr>
        <w:numId w:val="1"/>
      </w:numPr>
    </w:pPr>
  </w:style>
  <w:style w:type="character" w:styleId="Collegamentoipertestuale">
    <w:name w:val="Hyperlink"/>
    <w:basedOn w:val="Carpredefinitoparagrafo"/>
    <w:uiPriority w:val="99"/>
    <w:unhideWhenUsed/>
    <w:rsid w:val="00A62EF1"/>
    <w:rPr>
      <w:color w:val="0000FF" w:themeColor="hyperlink"/>
      <w:u w:val="single"/>
    </w:rPr>
  </w:style>
  <w:style w:type="paragraph" w:styleId="Corpotesto">
    <w:name w:val="Body Text"/>
    <w:basedOn w:val="Normale"/>
    <w:link w:val="CorpotestoCarattere"/>
    <w:semiHidden/>
    <w:unhideWhenUsed/>
    <w:rsid w:val="004F0332"/>
    <w:pPr>
      <w:widowControl/>
      <w:suppressAutoHyphens w:val="0"/>
      <w:autoSpaceDN/>
      <w:spacing w:after="120"/>
      <w:textAlignment w:val="auto"/>
    </w:pPr>
    <w:rPr>
      <w:rFonts w:ascii="Arial" w:eastAsia="Times New Roman" w:hAnsi="Arial" w:cs="Arial"/>
      <w:kern w:val="0"/>
      <w:szCs w:val="20"/>
      <w:lang w:eastAsia="it-IT" w:bidi="ar-SA"/>
    </w:rPr>
  </w:style>
  <w:style w:type="character" w:customStyle="1" w:styleId="CorpotestoCarattere">
    <w:name w:val="Corpo testo Carattere"/>
    <w:basedOn w:val="Carpredefinitoparagrafo"/>
    <w:link w:val="Corpotesto"/>
    <w:semiHidden/>
    <w:rsid w:val="004F0332"/>
    <w:rPr>
      <w:rFonts w:ascii="Arial" w:eastAsia="Times New Roman" w:hAnsi="Arial" w:cs="Arial"/>
      <w:kern w:val="0"/>
      <w:szCs w:val="20"/>
      <w:lang w:eastAsia="it-IT" w:bidi="ar-SA"/>
    </w:rPr>
  </w:style>
  <w:style w:type="paragraph" w:styleId="Intestazione">
    <w:name w:val="header"/>
    <w:basedOn w:val="Normale"/>
    <w:link w:val="IntestazioneCarattere"/>
    <w:uiPriority w:val="99"/>
    <w:unhideWhenUsed/>
    <w:rsid w:val="00295DC1"/>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295DC1"/>
    <w:rPr>
      <w:rFonts w:cs="Mangal"/>
      <w:szCs w:val="21"/>
    </w:rPr>
  </w:style>
  <w:style w:type="paragraph" w:styleId="Pidipagina">
    <w:name w:val="footer"/>
    <w:basedOn w:val="Normale"/>
    <w:link w:val="PidipaginaCarattere"/>
    <w:uiPriority w:val="99"/>
    <w:unhideWhenUsed/>
    <w:rsid w:val="00295DC1"/>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95DC1"/>
    <w:rPr>
      <w:rFonts w:cs="Mangal"/>
      <w:szCs w:val="21"/>
    </w:rPr>
  </w:style>
  <w:style w:type="character" w:styleId="Menzionenonrisolta">
    <w:name w:val="Unresolved Mention"/>
    <w:basedOn w:val="Carpredefinitoparagrafo"/>
    <w:uiPriority w:val="99"/>
    <w:semiHidden/>
    <w:unhideWhenUsed/>
    <w:rsid w:val="00295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e:2005-12-27;205~art1!vig" TargetMode="External"/><Relationship Id="rId13" Type="http://schemas.openxmlformats.org/officeDocument/2006/relationships/hyperlink" Target="http://www.normattiva.it/uri-res/N2Ls?urn:nir:stato:decreto.legislativo:2000-08-18;267~art239!vig" TargetMode="External"/><Relationship Id="rId18" Type="http://schemas.openxmlformats.org/officeDocument/2006/relationships/hyperlink" Target="http://www.normattiva.it/uri-res/N2Ls?urn:nir:stato:decreto.legislativo:2000-08-18;267~art134!vi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ormattiva.it/uri-res/N2Ls?urn:nir:stato:leggee:2013-12-27;147~art1!vig" TargetMode="External"/><Relationship Id="rId12" Type="http://schemas.openxmlformats.org/officeDocument/2006/relationships/hyperlink" Target="http://www.normattiva.it/uri-res/N2Ls?urn:nir:stato:decreto:1999-04-27;158~art4!vig" TargetMode="External"/><Relationship Id="rId17" Type="http://schemas.openxmlformats.org/officeDocument/2006/relationships/hyperlink" Target="http://www.normattiva.it/uri-res/N2Ls?urn:nir:stato:decreto.legislativo:2000-08-18;267~art49ig" TargetMode="External"/><Relationship Id="rId2" Type="http://schemas.openxmlformats.org/officeDocument/2006/relationships/styles" Target="styles.xml"/><Relationship Id="rId16" Type="http://schemas.openxmlformats.org/officeDocument/2006/relationships/hyperlink" Target="http://www.normattiva.it/uri-res/N2Ls?urn:nir:stato:decreto.legislativo:2000-08-18;267~art134!vi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leggee:2011-09-14;148!vig" TargetMode="External"/><Relationship Id="rId5" Type="http://schemas.openxmlformats.org/officeDocument/2006/relationships/footnotes" Target="footnotes.xml"/><Relationship Id="rId15" Type="http://schemas.openxmlformats.org/officeDocument/2006/relationships/hyperlink" Target="http://www.normattiva.it/uri-res/N2Ls?urn:nir:stato:decreto.legislativo:2000-08-18;267~art42!vig" TargetMode="External"/><Relationship Id="rId10" Type="http://schemas.openxmlformats.org/officeDocument/2006/relationships/hyperlink" Target="http://www.normattiva.it/uri-res/N2Ls?urn:nir:stato:decreto:2000-08-13;138~art3bis!vi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rmattiva.it/uri-res/N2Ls?urn:nir:stato:leggee:2006-12-27;296~art1!vig" TargetMode="External"/><Relationship Id="rId14" Type="http://schemas.openxmlformats.org/officeDocument/2006/relationships/hyperlink" Target="http://www.normattiva.it/uri-res/N2Ls?urn:nir:stato:decreto.legislativo:2000-08-18;267!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1286</Words>
  <Characters>7335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GIANLUCAG</dc:creator>
  <cp:lastModifiedBy>utente</cp:lastModifiedBy>
  <cp:revision>2</cp:revision>
  <dcterms:created xsi:type="dcterms:W3CDTF">2021-06-14T08:15:00Z</dcterms:created>
  <dcterms:modified xsi:type="dcterms:W3CDTF">2021-06-14T08:15:00Z</dcterms:modified>
</cp:coreProperties>
</file>