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46735" w14:textId="77777777" w:rsidR="00976F07" w:rsidRPr="00976F07" w:rsidRDefault="00976F07" w:rsidP="00976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Pubblicato il 26/11/2020</w:t>
      </w:r>
    </w:p>
    <w:p w14:paraId="5C882D1A" w14:textId="77777777" w:rsidR="00976F07" w:rsidRPr="00976F07" w:rsidRDefault="00976F07" w:rsidP="00976F07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color w:val="000000"/>
          <w:lang w:eastAsia="it-IT"/>
        </w:rPr>
      </w:pPr>
      <w:r w:rsidRPr="00976F07">
        <w:rPr>
          <w:rFonts w:ascii="Times Nordic" w:eastAsia="Times New Roman" w:hAnsi="Times Nordic" w:cs="Times New Roman"/>
          <w:b/>
          <w:bCs/>
          <w:color w:val="000000"/>
          <w:lang w:eastAsia="it-IT"/>
        </w:rPr>
        <w:t>N. 00729/2020 REG.PROV.CAU.</w:t>
      </w:r>
    </w:p>
    <w:p w14:paraId="6F3717E8" w14:textId="77777777" w:rsidR="00976F07" w:rsidRPr="00976F07" w:rsidRDefault="00976F07" w:rsidP="00976F07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color w:val="000000"/>
          <w:lang w:eastAsia="it-IT"/>
        </w:rPr>
      </w:pPr>
      <w:r w:rsidRPr="00976F07">
        <w:rPr>
          <w:rFonts w:ascii="Times Nordic" w:eastAsia="Times New Roman" w:hAnsi="Times Nordic" w:cs="Times New Roman"/>
          <w:b/>
          <w:bCs/>
          <w:color w:val="000000"/>
          <w:lang w:eastAsia="it-IT"/>
        </w:rPr>
        <w:t>N. 01357/2020 REG.RIC.</w:t>
      </w:r>
    </w:p>
    <w:p w14:paraId="2F9D1AD7" w14:textId="77777777" w:rsidR="00976F07" w:rsidRPr="00976F07" w:rsidRDefault="00976F07" w:rsidP="00976F07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7"/>
          <w:szCs w:val="27"/>
          <w:lang w:eastAsia="it-IT"/>
        </w:rPr>
      </w:pPr>
      <w:r w:rsidRPr="00976F07">
        <w:rPr>
          <w:rFonts w:ascii="Garamond" w:eastAsia="Times New Roman" w:hAnsi="Garamond" w:cs="Times New Roman"/>
          <w:b/>
          <w:bCs/>
          <w:noProof/>
          <w:color w:val="000000"/>
          <w:spacing w:val="150"/>
          <w:sz w:val="27"/>
          <w:szCs w:val="27"/>
          <w:lang w:eastAsia="it-IT"/>
        </w:rPr>
        <w:drawing>
          <wp:inline distT="0" distB="0" distL="0" distR="0" wp14:anchorId="6B674F87" wp14:editId="7562DDC2">
            <wp:extent cx="726440" cy="828040"/>
            <wp:effectExtent l="0" t="0" r="0" b="0"/>
            <wp:docPr id="1" name="Picture 1" descr="https://www.giustizia-amministrativa.it/web/guest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iustizia-amministrativa.it/web/guest/stemm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B71D0" w14:textId="77777777" w:rsidR="00976F07" w:rsidRPr="00976F07" w:rsidRDefault="00976F07" w:rsidP="00976F07">
      <w:pPr>
        <w:spacing w:before="100" w:beforeAutospacing="1" w:after="100" w:afterAutospacing="1" w:line="240" w:lineRule="auto"/>
        <w:jc w:val="center"/>
        <w:outlineLvl w:val="1"/>
        <w:rPr>
          <w:rFonts w:ascii="Garamond" w:eastAsia="Times New Roman" w:hAnsi="Garamond" w:cs="Times New Roman"/>
          <w:b/>
          <w:bCs/>
          <w:color w:val="000000"/>
          <w:spacing w:val="150"/>
          <w:kern w:val="36"/>
          <w:sz w:val="24"/>
          <w:szCs w:val="24"/>
          <w:lang w:eastAsia="it-IT"/>
        </w:rPr>
      </w:pPr>
      <w:r w:rsidRPr="00976F07">
        <w:rPr>
          <w:rFonts w:ascii="Garamond" w:eastAsia="Times New Roman" w:hAnsi="Garamond" w:cs="Times New Roman"/>
          <w:b/>
          <w:bCs/>
          <w:color w:val="000000"/>
          <w:spacing w:val="150"/>
          <w:kern w:val="36"/>
          <w:sz w:val="24"/>
          <w:szCs w:val="24"/>
          <w:lang w:eastAsia="it-IT"/>
        </w:rPr>
        <w:t>REPUBBLICA ITALIANA</w:t>
      </w:r>
    </w:p>
    <w:p w14:paraId="6CEA0BE1" w14:textId="77777777" w:rsidR="00976F07" w:rsidRPr="00976F07" w:rsidRDefault="00976F07" w:rsidP="00976F07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976F07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Tribunale Amministrativo Regionale per la Puglia</w:t>
      </w:r>
    </w:p>
    <w:p w14:paraId="69D6B657" w14:textId="77777777" w:rsidR="00976F07" w:rsidRPr="00976F07" w:rsidRDefault="00976F07" w:rsidP="00976F07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976F07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(Sezione Terza)</w:t>
      </w:r>
    </w:p>
    <w:p w14:paraId="6D1E0E54" w14:textId="77777777" w:rsidR="00976F07" w:rsidRPr="00976F07" w:rsidRDefault="00976F07" w:rsidP="00976F0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14:paraId="3518ADD8" w14:textId="77777777" w:rsidR="00976F07" w:rsidRPr="00976F07" w:rsidRDefault="00976F07" w:rsidP="00976F07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976F07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Presidente</w:t>
      </w:r>
    </w:p>
    <w:p w14:paraId="0ED1FEBB" w14:textId="77777777" w:rsidR="00976F07" w:rsidRPr="00976F07" w:rsidRDefault="00976F07" w:rsidP="00976F07">
      <w:pPr>
        <w:spacing w:after="0" w:line="520" w:lineRule="atLeast"/>
        <w:ind w:firstLine="567"/>
        <w:jc w:val="lef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ha pronunciato il presente</w:t>
      </w:r>
    </w:p>
    <w:p w14:paraId="2925F572" w14:textId="77777777" w:rsidR="00976F07" w:rsidRPr="00976F07" w:rsidRDefault="00976F07" w:rsidP="00976F07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976F07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DECRETO</w:t>
      </w:r>
    </w:p>
    <w:p w14:paraId="3045E205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sul ricorso numero di registro generale 1357 del 2020, proposto da -OMISSIS-e -OMISSIS-, in proprio e in qualità di genitori esercenti la potestà sui minori Novielli Sofia e Novielli Gioele Fiore, rappresentati e difesi dall'avvocato Valeria Campobasso, con domicilio digitale come da p.e.c. da Registri di Giustizia;</w:t>
      </w:r>
    </w:p>
    <w:p w14:paraId="03FC97DC" w14:textId="77777777" w:rsidR="00976F07" w:rsidRPr="00976F07" w:rsidRDefault="00976F07" w:rsidP="00976F07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contro</w:t>
      </w:r>
    </w:p>
    <w:p w14:paraId="0C5A95B0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Comune di Acquaviva delle Fonti, in persona del Sindaco p. t., non costituito in giudizio;</w:t>
      </w:r>
    </w:p>
    <w:p w14:paraId="0A2D2E59" w14:textId="77777777" w:rsidR="00976F07" w:rsidRPr="00976F07" w:rsidRDefault="00976F07" w:rsidP="00976F07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b/>
          <w:bCs/>
          <w:i/>
          <w:iCs/>
          <w:color w:val="000000"/>
          <w:sz w:val="30"/>
          <w:szCs w:val="30"/>
          <w:lang w:eastAsia="it-IT"/>
        </w:rPr>
        <w:t>per l'annullamento</w:t>
      </w:r>
    </w:p>
    <w:p w14:paraId="0257C2A9" w14:textId="77777777" w:rsidR="00976F07" w:rsidRPr="00976F07" w:rsidRDefault="00976F07" w:rsidP="00976F07">
      <w:pPr>
        <w:spacing w:after="0" w:line="540" w:lineRule="atLeast"/>
        <w:jc w:val="center"/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previa sospensione dell'efficacia</w:t>
      </w:r>
    </w:p>
    <w:p w14:paraId="7BD374F4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e previa adozione delle idonee misure cautelari anche inaudita altera parte </w:t>
      </w:r>
      <w:r w:rsidRPr="00976F07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ex</w:t>
      </w: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 xml:space="preserve"> art 56 c.p.a., dell'ordinanza del Sindaco del Comune di Acquaviva delle Fonti -OMISSIS-del 23.11.2020, pubblicata al -OMISSIS-sull'Albo Pretorio del medesimo Comune </w:t>
      </w: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lastRenderedPageBreak/>
        <w:t>in data 23.11.2020, avente a oggetto “</w:t>
      </w:r>
      <w:r w:rsidRPr="00976F07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Comitato Operativo Comunale del giorno 23.11.2020. Provvedimenti</w:t>
      </w: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”, nella parte in cui al punto n. 1 a), ordina di “</w:t>
      </w:r>
      <w:r w:rsidRPr="00976F07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sospendere esclusivamente le attività didattiche in presenza delle classi della scuola dell'infanzia, della scuola primaria e della scuola secondaria di I grado dal giorno 24 novembre 2020 al giorno 03 dicembre 2020</w:t>
      </w: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”, nonché di ogni altro atto e provvedimento comunque presupposto, conseguente e connesso al suddetto punto 1 a) della predetta ordinanza e con riserva di motivi aggiunti;</w:t>
      </w:r>
    </w:p>
    <w:p w14:paraId="7A3AB13F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Visti il ricorso e i relativi allegati;</w:t>
      </w:r>
    </w:p>
    <w:p w14:paraId="38AEB15A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Vista l'istanza di misure cautelari monocratiche proposta dal ricorrente, ai sensi dell'art. 56 cod. proc. amm.;</w:t>
      </w:r>
    </w:p>
    <w:p w14:paraId="20D6A017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Ritenuto che non sussistano i presupposti della misura cautelare urgente, atteso che:</w:t>
      </w:r>
    </w:p>
    <w:p w14:paraId="64C85663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in punto di diritto, a tenore dell’articolo 35 del D.L. del 2 marzo 2020, n. 9 “</w:t>
      </w:r>
      <w:r w:rsidRPr="00976F07">
        <w:rPr>
          <w:rFonts w:ascii="Garamond" w:eastAsia="Times New Roman" w:hAnsi="Garamond" w:cs="Times New Roman"/>
          <w:i/>
          <w:iCs/>
          <w:color w:val="000000"/>
          <w:sz w:val="30"/>
          <w:szCs w:val="30"/>
          <w:lang w:eastAsia="it-IT"/>
        </w:rPr>
        <w:t>a seguito dell’adozione delle misure statali di contenimento e gestione dell’emergenza epidemiologica da misure statali di contenimento e gestione dell’emergenza epidemiologica da COVID-19 non possono essere adottate e, ove adottate sono inefficaci, le ordinanze sindacali contingibili e urgenti dirette a fronteggiare l’emergenza li contingibili e urgenti dirette a fronteggiare l’emergenza predetta in contrasto con le misure statali</w:t>
      </w: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” e, tuttavia, l’intervenuta emanazione del D.P.C.M. 4 novembre 2020 non esclude la persistente possibilità, per le Autorità sanitarie regionali e locali, di adottare misure più restrittive in presenza di situazioni sopravvenute (ovvero non considerate nel detto D.P.C.M.), o da specificità locali, giustificative del potere di ordinanza contingibile e urgente, in generale previsto dall’art. 32 della L. 833/1978, e dall’art. 3 del D.L. 25 marzo 2020, n. 19;</w:t>
      </w:r>
    </w:p>
    <w:p w14:paraId="74A71178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in punto di fatto, nel caso di specie, le attività didattiche in presenza nelle scuole locali sono state interdette per il periodo dal 24.11.2020 al 3.12.2020, in relazione a una particolare recrudescenza dell’emergenza epidemiologica in quel Comune, rilevata sulla base di dati certi dal C.O.C., al quale hanno partecipato anche i dirigenti didattici di quelle scuole, esprimendo parere favorevole alla misura temporanea;</w:t>
      </w:r>
    </w:p>
    <w:p w14:paraId="48560BF3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lastRenderedPageBreak/>
        <w:t>Ritenuto, pertanto, di dove respingere l’istanza;</w:t>
      </w:r>
    </w:p>
    <w:p w14:paraId="28153DB9" w14:textId="77777777" w:rsidR="00976F07" w:rsidRPr="00976F07" w:rsidRDefault="00976F07" w:rsidP="00976F0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14:paraId="51EDB0E2" w14:textId="77777777" w:rsidR="00976F07" w:rsidRPr="00976F07" w:rsidRDefault="00976F07" w:rsidP="00976F07">
      <w:pPr>
        <w:spacing w:after="0" w:line="540" w:lineRule="atLeast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P.Q.M.</w:t>
      </w:r>
    </w:p>
    <w:p w14:paraId="26A79D4D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RESPINGE l’istanza cautelare interinale.</w:t>
      </w:r>
    </w:p>
    <w:p w14:paraId="074A6C97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Fissa per la trattazione collegiale la camera di consiglio del 17 dicembre 2020.</w:t>
      </w:r>
    </w:p>
    <w:p w14:paraId="4D34999F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Il presente decreto sarà eseguito dall'Amministrazione ed è depositato presso la Segreteria del Tribunale che provvederà a darne comunicazione alle parti.</w:t>
      </w:r>
    </w:p>
    <w:p w14:paraId="75F64E83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Ritenuto che sussistano i presupposti di cui all’articolo 52, commi 1, 2 e 5, del decreto legislativo 30 giugno 2003, n. 196, e dell’articolo 6, paragrafo 1, lettera f), del Regolamento (UE) 2016/679 del Parlamento europeo e del Consiglio del 27 aprile 2016, manda alla Segreteria di procedere, in caso di riproduzione in qualsiasi forma, all’oscuramento delle generalità del minore, dei soggetti esercenti la potestà genitoriale o la tutela e di ogni altro dato idoneo ad identificare il medesimo interessato riportato nella sentenza o nel provvedimento.</w:t>
      </w:r>
    </w:p>
    <w:p w14:paraId="052EEB0F" w14:textId="77777777" w:rsidR="00976F07" w:rsidRPr="00976F07" w:rsidRDefault="00976F07" w:rsidP="00976F07">
      <w:pPr>
        <w:spacing w:after="0" w:line="520" w:lineRule="atLeast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Così deciso il giorno 26 novembre 2020.</w:t>
      </w:r>
    </w:p>
    <w:p w14:paraId="73FC4E7A" w14:textId="77777777" w:rsidR="00976F07" w:rsidRPr="00976F07" w:rsidRDefault="00976F07" w:rsidP="00976F0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tbl>
      <w:tblPr>
        <w:tblW w:w="5000" w:type="pct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8"/>
        <w:gridCol w:w="5420"/>
      </w:tblGrid>
      <w:tr w:rsidR="00976F07" w:rsidRPr="00976F07" w14:paraId="44BC93E7" w14:textId="77777777" w:rsidTr="00976F07">
        <w:trPr>
          <w:tblCellSpacing w:w="6" w:type="dxa"/>
        </w:trPr>
        <w:tc>
          <w:tcPr>
            <w:tcW w:w="4200" w:type="dxa"/>
            <w:vAlign w:val="center"/>
            <w:hideMark/>
          </w:tcPr>
          <w:p w14:paraId="315B88B8" w14:textId="77777777" w:rsidR="00976F07" w:rsidRPr="00976F07" w:rsidRDefault="00976F07" w:rsidP="009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76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98D1FD" w14:textId="77777777" w:rsidR="00976F07" w:rsidRPr="00976F07" w:rsidRDefault="00976F07" w:rsidP="009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76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Il Presidente</w:t>
            </w:r>
          </w:p>
        </w:tc>
      </w:tr>
      <w:tr w:rsidR="00976F07" w:rsidRPr="00976F07" w14:paraId="506E1149" w14:textId="77777777" w:rsidTr="00976F07">
        <w:trPr>
          <w:tblCellSpacing w:w="6" w:type="dxa"/>
        </w:trPr>
        <w:tc>
          <w:tcPr>
            <w:tcW w:w="4200" w:type="dxa"/>
            <w:vAlign w:val="center"/>
            <w:hideMark/>
          </w:tcPr>
          <w:p w14:paraId="1182D937" w14:textId="77777777" w:rsidR="00976F07" w:rsidRPr="00976F07" w:rsidRDefault="00976F07" w:rsidP="009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76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D3D3B7" w14:textId="77777777" w:rsidR="00976F07" w:rsidRPr="00976F07" w:rsidRDefault="00976F07" w:rsidP="0097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76F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Orazio Ciliberti</w:t>
            </w:r>
          </w:p>
        </w:tc>
      </w:tr>
    </w:tbl>
    <w:p w14:paraId="2999F663" w14:textId="77777777" w:rsidR="00976F07" w:rsidRPr="00976F07" w:rsidRDefault="00976F07" w:rsidP="00976F07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  <w:r w:rsidRPr="00976F07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/>
      </w:r>
    </w:p>
    <w:p w14:paraId="128DF7C7" w14:textId="77777777" w:rsidR="002647DC" w:rsidRPr="00976F07" w:rsidRDefault="00976F07" w:rsidP="00976F07">
      <w:pPr>
        <w:spacing w:after="0" w:line="540" w:lineRule="atLeast"/>
        <w:jc w:val="center"/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</w:pPr>
      <w:r w:rsidRPr="00976F07">
        <w:rPr>
          <w:rFonts w:ascii="Garamond" w:eastAsia="Times New Roman" w:hAnsi="Garamond" w:cs="Times New Roman"/>
          <w:color w:val="000000"/>
          <w:sz w:val="30"/>
          <w:szCs w:val="30"/>
          <w:lang w:eastAsia="it-IT"/>
        </w:rPr>
        <w:t>IL SEGRETARIO</w:t>
      </w:r>
    </w:p>
    <w:sectPr w:rsidR="002647DC" w:rsidRPr="00976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ord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07"/>
    <w:rsid w:val="002647DC"/>
    <w:rsid w:val="00976F07"/>
    <w:rsid w:val="00D8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6FF57"/>
  <w15:chartTrackingRefBased/>
  <w15:docId w15:val="{52E7D929-DA12-4622-8A3B-71843F36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gistri">
    <w:name w:val="registri"/>
    <w:basedOn w:val="Normale"/>
    <w:rsid w:val="0097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pubblica">
    <w:name w:val="repubblica"/>
    <w:basedOn w:val="Normale"/>
    <w:rsid w:val="0097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zione">
    <w:name w:val="sezione"/>
    <w:basedOn w:val="Normale"/>
    <w:rsid w:val="0097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ula">
    <w:name w:val="tabula"/>
    <w:basedOn w:val="Normale"/>
    <w:rsid w:val="0097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97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ro">
    <w:name w:val="contro"/>
    <w:basedOn w:val="Normale"/>
    <w:rsid w:val="0097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evia">
    <w:name w:val="previa"/>
    <w:basedOn w:val="Normale"/>
    <w:rsid w:val="0097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atto">
    <w:name w:val="fatto"/>
    <w:basedOn w:val="Normale"/>
    <w:rsid w:val="00976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difil</dc:creator>
  <cp:keywords/>
  <dc:description/>
  <cp:lastModifiedBy>utente</cp:lastModifiedBy>
  <cp:revision>2</cp:revision>
  <dcterms:created xsi:type="dcterms:W3CDTF">2020-12-15T09:08:00Z</dcterms:created>
  <dcterms:modified xsi:type="dcterms:W3CDTF">2020-12-15T09:08:00Z</dcterms:modified>
</cp:coreProperties>
</file>