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82405" w14:textId="77777777" w:rsidR="00BF20CB" w:rsidRDefault="00425620">
      <w:pPr>
        <w:pStyle w:val="Titolo1"/>
        <w:spacing w:before="77"/>
      </w:pPr>
      <w:r>
        <w:t>Scheda sintetica</w:t>
      </w:r>
    </w:p>
    <w:p w14:paraId="56FAA497" w14:textId="77777777" w:rsidR="00BF20CB" w:rsidRDefault="00425620">
      <w:pPr>
        <w:spacing w:before="3"/>
        <w:ind w:left="752" w:right="753"/>
        <w:jc w:val="center"/>
        <w:rPr>
          <w:b/>
          <w:sz w:val="28"/>
        </w:rPr>
      </w:pPr>
      <w:r>
        <w:rPr>
          <w:b/>
          <w:sz w:val="28"/>
        </w:rPr>
        <w:t>Comunicazione al Consiglio della nomina dei componenti della giunta</w:t>
      </w:r>
    </w:p>
    <w:p w14:paraId="68890759" w14:textId="77777777" w:rsidR="00BF20CB" w:rsidRDefault="00BF20CB">
      <w:pPr>
        <w:pStyle w:val="Corpotesto"/>
        <w:spacing w:before="10"/>
        <w:ind w:left="0" w:right="0"/>
        <w:jc w:val="left"/>
        <w:rPr>
          <w:b/>
          <w:sz w:val="27"/>
        </w:rPr>
      </w:pPr>
    </w:p>
    <w:p w14:paraId="6BEBE102" w14:textId="77777777" w:rsidR="00BF20CB" w:rsidRDefault="00425620">
      <w:pPr>
        <w:pStyle w:val="Corpotesto"/>
        <w:spacing w:before="1"/>
        <w:ind w:right="122"/>
      </w:pPr>
      <w:r>
        <w:t>Dopo il giuramento, il sindaco comunica al consiglio comunale la composizione della giunta.</w:t>
      </w:r>
    </w:p>
    <w:p w14:paraId="5323F759" w14:textId="37F9B64C" w:rsidR="00BF20CB" w:rsidRDefault="00425620">
      <w:pPr>
        <w:pStyle w:val="Corpotesto"/>
      </w:pPr>
      <w:r>
        <w:t xml:space="preserve">La disposizione del </w:t>
      </w:r>
      <w:hyperlink r:id="rId6" w:history="1">
        <w:r w:rsidRPr="000468EF">
          <w:rPr>
            <w:rStyle w:val="Collegamentoipertestuale"/>
          </w:rPr>
          <w:t>decreto legislativo 267/2000</w:t>
        </w:r>
      </w:hyperlink>
      <w:r>
        <w:t xml:space="preserve"> secondo cui il sindaco nella prima seduta del consiglio comunale successiva alle elezioni comunica la nomina dei co</w:t>
      </w:r>
      <w:r>
        <w:t>mponenti la giunta ha natura acceleratoria e, pertanto, il rinvio dell'incombenza alla seduta successiva non comporta la decadenza del consiglio comunale (Consiglio di Stato - V Sezione, 22 novembre 2005, n. 6476).</w:t>
      </w:r>
    </w:p>
    <w:p w14:paraId="25D4E148" w14:textId="18B340F1" w:rsidR="00BF20CB" w:rsidRDefault="000468EF">
      <w:pPr>
        <w:pStyle w:val="Corpotesto"/>
        <w:ind w:right="122"/>
      </w:pPr>
      <w:hyperlink r:id="rId7" w:history="1">
        <w:r w:rsidR="00425620" w:rsidRPr="000468EF">
          <w:rPr>
            <w:rStyle w:val="Collegamentoipertestuale"/>
          </w:rPr>
          <w:t xml:space="preserve">L’art. 46, comma 2 del </w:t>
        </w:r>
        <w:proofErr w:type="gramStart"/>
        <w:r w:rsidR="00425620" w:rsidRPr="000468EF">
          <w:rPr>
            <w:rStyle w:val="Collegamentoipertestuale"/>
          </w:rPr>
          <w:t>T.U</w:t>
        </w:r>
        <w:proofErr w:type="gramEnd"/>
      </w:hyperlink>
      <w:r w:rsidR="00425620">
        <w:t>. prevede che i</w:t>
      </w:r>
      <w:r w:rsidR="00425620">
        <w:t>l sindaco nomini i componenti della giunta, tra cui un vicesindaco.</w:t>
      </w:r>
    </w:p>
    <w:p w14:paraId="72D359B9" w14:textId="77777777" w:rsidR="00BF20CB" w:rsidRDefault="00425620">
      <w:pPr>
        <w:pStyle w:val="Corpotesto"/>
        <w:ind w:right="121"/>
      </w:pPr>
      <w:r>
        <w:t>Nei comuni con popolazione superiore ai 15.000 abitanti, gli assessori possono essere nominati dal sindaco anche al di fuori dei componenti del consiglio.</w:t>
      </w:r>
    </w:p>
    <w:p w14:paraId="312614DB" w14:textId="77777777" w:rsidR="00BF20CB" w:rsidRDefault="00425620">
      <w:pPr>
        <w:pStyle w:val="Corpotesto"/>
        <w:spacing w:before="1"/>
        <w:ind w:right="110"/>
      </w:pPr>
      <w:r>
        <w:t>Gli assessori "esterni" devono es</w:t>
      </w:r>
      <w:r>
        <w:t>sere in possesso dei requisiti di candidabilità, eleggibilità e compatibilità previsti per i consiglieri (Corte di cassazione - Sezioni civili: I Sezione, 6 marzo 2000, n. 2490).</w:t>
      </w:r>
    </w:p>
    <w:p w14:paraId="1CFAD8C6" w14:textId="53FD2F18" w:rsidR="00BF20CB" w:rsidRDefault="00425620">
      <w:pPr>
        <w:pStyle w:val="Corpotesto"/>
        <w:ind w:right="118"/>
      </w:pPr>
      <w:r>
        <w:t>Nei comuni con popolazione inferiore ai 15.000 abitanti, invece, la nomina ad</w:t>
      </w:r>
      <w:r>
        <w:t xml:space="preserve"> assessore di cittadini non facenti parte del consiglio, in possesso dei requisiti sopra specificati, è ammessa solo in quanto sia prevista nello statuto (</w:t>
      </w:r>
      <w:hyperlink r:id="rId8" w:history="1">
        <w:r w:rsidRPr="000468EF">
          <w:rPr>
            <w:rStyle w:val="Collegamentoipertestuale"/>
          </w:rPr>
          <w:t>articolo 47, comma 4, del decreto legislativo 267/2000</w:t>
        </w:r>
      </w:hyperlink>
      <w:r>
        <w:t>).</w:t>
      </w:r>
    </w:p>
    <w:p w14:paraId="5E5AD4C8" w14:textId="77777777" w:rsidR="00BF20CB" w:rsidRDefault="00425620">
      <w:pPr>
        <w:pStyle w:val="Corpotesto"/>
        <w:ind w:right="111"/>
      </w:pPr>
      <w:r>
        <w:t>Il soggetto estraneo ai consiglieri comunali</w:t>
      </w:r>
      <w:r>
        <w:t xml:space="preserve"> che venga dal sindaco nominato assessore deve essere in possesso dei requisiti di compatibilità ed eleggibilità alla carica di consigliere comunale.</w:t>
      </w:r>
    </w:p>
    <w:p w14:paraId="5DA1E6FA" w14:textId="77777777" w:rsidR="00BF20CB" w:rsidRDefault="00425620">
      <w:pPr>
        <w:pStyle w:val="Corpotesto"/>
        <w:ind w:right="109"/>
      </w:pPr>
      <w:r>
        <w:t xml:space="preserve">Il provvedimento di nomina è di competenza esclusiva del sindaco; è un atto discrezionale e come tale non </w:t>
      </w:r>
      <w:r>
        <w:t>censurabile se non per la sussistenza di cause di ineleggibilità o incompatibilità.</w:t>
      </w:r>
    </w:p>
    <w:p w14:paraId="2726FB5C" w14:textId="77777777" w:rsidR="00BF20CB" w:rsidRDefault="00425620">
      <w:pPr>
        <w:pStyle w:val="Corpotesto"/>
      </w:pPr>
      <w:r>
        <w:t>Come la nomina, anche la revoca di un assessore comunale rientra nella competenza sindacale.</w:t>
      </w:r>
    </w:p>
    <w:p w14:paraId="1D85B989" w14:textId="77777777" w:rsidR="00BF20CB" w:rsidRDefault="00425620">
      <w:pPr>
        <w:pStyle w:val="Corpotesto"/>
        <w:ind w:right="115"/>
      </w:pPr>
      <w:r>
        <w:t xml:space="preserve">Il sindaco, nel caso di nomina, revoca o dimissioni di uno o più assessori </w:t>
      </w:r>
      <w:proofErr w:type="gramStart"/>
      <w:r>
        <w:t>dell</w:t>
      </w:r>
      <w:r>
        <w:t>a  giunta</w:t>
      </w:r>
      <w:proofErr w:type="gramEnd"/>
      <w:r>
        <w:t>, è tenuto a darne comunque comunicazione al consiglio, nella prima seduta utile.</w:t>
      </w:r>
    </w:p>
    <w:sectPr w:rsidR="00BF20CB">
      <w:headerReference w:type="default" r:id="rId9"/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2A2A2" w14:textId="77777777" w:rsidR="00425620" w:rsidRDefault="00425620" w:rsidP="000468EF">
      <w:r>
        <w:separator/>
      </w:r>
    </w:p>
  </w:endnote>
  <w:endnote w:type="continuationSeparator" w:id="0">
    <w:p w14:paraId="04381EC9" w14:textId="77777777" w:rsidR="00425620" w:rsidRDefault="00425620" w:rsidP="0004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A9A69" w14:textId="77777777" w:rsidR="00425620" w:rsidRDefault="00425620" w:rsidP="000468EF">
      <w:r>
        <w:separator/>
      </w:r>
    </w:p>
  </w:footnote>
  <w:footnote w:type="continuationSeparator" w:id="0">
    <w:p w14:paraId="45C56216" w14:textId="77777777" w:rsidR="00425620" w:rsidRDefault="00425620" w:rsidP="0004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20C23" w14:textId="3781CF53" w:rsidR="000468EF" w:rsidRDefault="000468EF" w:rsidP="000468EF">
    <w:pPr>
      <w:pStyle w:val="Intestazione"/>
      <w:jc w:val="center"/>
    </w:pPr>
    <w:r w:rsidRPr="006C3FC8">
      <w:rPr>
        <w:noProof/>
      </w:rPr>
      <w:drawing>
        <wp:inline distT="0" distB="0" distL="0" distR="0" wp14:anchorId="1FC413B0" wp14:editId="4033F9F7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B4DE8" w14:textId="77777777" w:rsidR="000468EF" w:rsidRDefault="000468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CB"/>
    <w:rsid w:val="000468EF"/>
    <w:rsid w:val="00425620"/>
    <w:rsid w:val="00B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9A8F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3"/>
      <w:ind w:left="752" w:right="75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 w:righ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68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8E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46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8E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468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0-08-18;267~art47!v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.legislativo:2000-08-18;267~art46!v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2000-08-18;267!vi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</dc:creator>
  <cp:lastModifiedBy>utente</cp:lastModifiedBy>
  <cp:revision>2</cp:revision>
  <dcterms:created xsi:type="dcterms:W3CDTF">2020-09-15T10:13:00Z</dcterms:created>
  <dcterms:modified xsi:type="dcterms:W3CDTF">2020-09-15T10:13:00Z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