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3063B" w14:textId="77777777" w:rsidR="00495313" w:rsidRDefault="00F81B71">
      <w:pPr>
        <w:spacing w:before="76"/>
        <w:ind w:left="212"/>
        <w:rPr>
          <w:sz w:val="24"/>
        </w:rPr>
      </w:pPr>
      <w:r>
        <w:rPr>
          <w:sz w:val="24"/>
        </w:rPr>
        <w:t>Delibera Consiglio Comunale</w:t>
      </w:r>
    </w:p>
    <w:p w14:paraId="7ED2C5B8" w14:textId="355534A0" w:rsidR="00495313" w:rsidRDefault="00085A49">
      <w:pPr>
        <w:pStyle w:val="Corpotesto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B0E45AE" wp14:editId="435F2D2F">
                <wp:simplePos x="0" y="0"/>
                <wp:positionH relativeFrom="page">
                  <wp:posOffset>647700</wp:posOffset>
                </wp:positionH>
                <wp:positionV relativeFrom="paragraph">
                  <wp:posOffset>160020</wp:posOffset>
                </wp:positionV>
                <wp:extent cx="6264910" cy="5029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02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93FC2E" w14:textId="77777777" w:rsidR="00495313" w:rsidRDefault="00F81B71">
                            <w:pPr>
                              <w:spacing w:before="19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OGGETTO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Comunicazione dei componenti la Giunta comunale</w:t>
                            </w:r>
                          </w:p>
                          <w:p w14:paraId="213E2DA1" w14:textId="0EC97C99" w:rsidR="00495313" w:rsidRDefault="00F81B71">
                            <w:pPr>
                              <w:spacing w:before="120" w:line="321" w:lineRule="exact"/>
                              <w:ind w:left="32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(</w:t>
                            </w:r>
                            <w:hyperlink r:id="rId6" w:history="1">
                              <w:r w:rsidRPr="00085A49">
                                <w:rPr>
                                  <w:rStyle w:val="Collegamentoipertestuale"/>
                                  <w:sz w:val="28"/>
                                </w:rPr>
                                <w:t xml:space="preserve">art. 46 co. 2 del </w:t>
                              </w:r>
                              <w:r w:rsidRPr="00085A49">
                                <w:rPr>
                                  <w:rStyle w:val="Collegamentoipertestuale"/>
                                  <w:sz w:val="24"/>
                                </w:rPr>
                                <w:t>TUEL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E45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2.6pt;width:493.3pt;height:39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" filled="f" strokeweight=".48pt">
                <v:textbox inset="0,0,0,0">
                  <w:txbxContent>
                    <w:p w14:paraId="2D93FC2E" w14:textId="77777777" w:rsidR="00495313" w:rsidRDefault="00F81B71">
                      <w:pPr>
                        <w:spacing w:before="19"/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OGGETTO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>
                        <w:rPr>
                          <w:b/>
                          <w:sz w:val="28"/>
                        </w:rPr>
                        <w:t>Comunicazione dei componenti la Giunta comunale</w:t>
                      </w:r>
                    </w:p>
                    <w:p w14:paraId="213E2DA1" w14:textId="0EC97C99" w:rsidR="00495313" w:rsidRDefault="00F81B71">
                      <w:pPr>
                        <w:spacing w:before="120" w:line="321" w:lineRule="exact"/>
                        <w:ind w:left="3257"/>
                        <w:rPr>
                          <w:sz w:val="24"/>
                        </w:rPr>
                      </w:pPr>
                      <w:r>
                        <w:rPr>
                          <w:sz w:val="28"/>
                        </w:rPr>
                        <w:t>(</w:t>
                      </w:r>
                      <w:hyperlink r:id="rId7" w:history="1">
                        <w:r w:rsidRPr="00085A49">
                          <w:rPr>
                            <w:rStyle w:val="Collegamentoipertestuale"/>
                            <w:sz w:val="28"/>
                          </w:rPr>
                          <w:t xml:space="preserve">art. 46 co. 2 del </w:t>
                        </w:r>
                        <w:r w:rsidRPr="00085A49">
                          <w:rPr>
                            <w:rStyle w:val="Collegamentoipertestuale"/>
                            <w:sz w:val="24"/>
                          </w:rPr>
                          <w:t>TUEL</w:t>
                        </w:r>
                      </w:hyperlink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81E33" w14:textId="77777777" w:rsidR="00495313" w:rsidRDefault="00495313">
      <w:pPr>
        <w:pStyle w:val="Corpotesto"/>
        <w:ind w:left="0"/>
        <w:rPr>
          <w:sz w:val="20"/>
        </w:rPr>
      </w:pPr>
    </w:p>
    <w:p w14:paraId="27AB7C32" w14:textId="77777777" w:rsidR="00495313" w:rsidRDefault="00495313">
      <w:pPr>
        <w:pStyle w:val="Corpotesto"/>
        <w:spacing w:before="6"/>
        <w:ind w:left="0"/>
        <w:rPr>
          <w:sz w:val="18"/>
        </w:rPr>
      </w:pPr>
    </w:p>
    <w:p w14:paraId="78C852C4" w14:textId="77777777" w:rsidR="00495313" w:rsidRDefault="00F81B71">
      <w:pPr>
        <w:pStyle w:val="Corpotesto"/>
        <w:spacing w:before="89"/>
        <w:ind w:left="3264" w:right="3265"/>
        <w:jc w:val="center"/>
      </w:pPr>
      <w:r>
        <w:t>IL CONSIGLIO COMUNALE</w:t>
      </w:r>
    </w:p>
    <w:p w14:paraId="381C29C8" w14:textId="77777777" w:rsidR="00495313" w:rsidRDefault="00F81B71">
      <w:pPr>
        <w:pStyle w:val="Corpotesto"/>
        <w:spacing w:before="120"/>
      </w:pPr>
      <w:r>
        <w:t>-Richiamati:</w:t>
      </w:r>
    </w:p>
    <w:p w14:paraId="2B7BABCF" w14:textId="0E521366" w:rsidR="00495313" w:rsidRDefault="00F81B71">
      <w:pPr>
        <w:pStyle w:val="Corpotesto"/>
        <w:spacing w:before="120"/>
        <w:ind w:right="212"/>
        <w:jc w:val="both"/>
      </w:pPr>
      <w:r>
        <w:t>-</w:t>
      </w:r>
      <w:hyperlink r:id="rId8" w:history="1">
        <w:r w:rsidRPr="00085A49">
          <w:rPr>
            <w:rStyle w:val="Collegamentoipertestuale"/>
          </w:rPr>
          <w:t>l’articolo 46, comma 2, del decreto legislativo 18 agosto 2000 numero 267 (TUEL) e ss.mm.ii</w:t>
        </w:r>
      </w:hyperlink>
      <w:r>
        <w:t>: “Il sindaco e il presidente della provincia nominano, nel rispetto del principio di pari opportunità tra donne e uomini, garantendo la presenza di entrambi i sess</w:t>
      </w:r>
      <w:r>
        <w:t>i, i componenti della giunta, tra cui un vicesindaco e un vicepresidente, e ne danno comunicazione al consiglio nella prima seduta successiva alla</w:t>
      </w:r>
      <w:r>
        <w:rPr>
          <w:spacing w:val="-16"/>
        </w:rPr>
        <w:t xml:space="preserve"> </w:t>
      </w:r>
      <w:r>
        <w:t>elezione”;</w:t>
      </w:r>
    </w:p>
    <w:p w14:paraId="427AE8FC" w14:textId="205CFD1B" w:rsidR="00495313" w:rsidRDefault="00F81B71">
      <w:pPr>
        <w:pStyle w:val="Corpotesto"/>
        <w:spacing w:before="121"/>
        <w:ind w:right="219"/>
        <w:jc w:val="both"/>
      </w:pPr>
      <w:r>
        <w:t>-</w:t>
      </w:r>
      <w:hyperlink r:id="rId9" w:history="1">
        <w:r w:rsidRPr="00085A49">
          <w:rPr>
            <w:rStyle w:val="Collegamentoipertestuale"/>
          </w:rPr>
          <w:t>l’articolo 1, comma 137 della legge 56/2014</w:t>
        </w:r>
      </w:hyperlink>
      <w:r>
        <w:t>, per il quale: “Nelle giunte dei comuni con popolazio</w:t>
      </w:r>
      <w:r>
        <w:t>ne superiore a 3.000 abitanti, nessuno dei due sessi può essere rappresentato in misura inferiore al 40 per cento, con arrotondamento aritmetico”;</w:t>
      </w:r>
    </w:p>
    <w:p w14:paraId="0048DBA6" w14:textId="31D51752" w:rsidR="00495313" w:rsidRDefault="00F81B71">
      <w:pPr>
        <w:pStyle w:val="Corpotesto"/>
        <w:spacing w:before="121"/>
        <w:jc w:val="both"/>
      </w:pPr>
      <w:r>
        <w:t>-</w:t>
      </w:r>
      <w:hyperlink r:id="rId10" w:history="1">
        <w:r w:rsidRPr="00085A49">
          <w:rPr>
            <w:rStyle w:val="Collegamentoipertestuale"/>
          </w:rPr>
          <w:t>l’articolo 47 del TUEL</w:t>
        </w:r>
      </w:hyperlink>
      <w:r>
        <w:t xml:space="preserve"> sulla composizione delle giunte;</w:t>
      </w:r>
    </w:p>
    <w:p w14:paraId="061F2974" w14:textId="32C54FAF" w:rsidR="00495313" w:rsidRDefault="00F81B71">
      <w:pPr>
        <w:pStyle w:val="Corpotesto"/>
        <w:spacing w:before="120"/>
        <w:ind w:right="211"/>
        <w:jc w:val="both"/>
      </w:pPr>
      <w:r>
        <w:t>-</w:t>
      </w:r>
      <w:hyperlink r:id="rId11" w:history="1">
        <w:r w:rsidRPr="00085A49">
          <w:rPr>
            <w:rStyle w:val="Collegamentoipertestuale"/>
          </w:rPr>
          <w:t>l’articolo 64 del TUEL</w:t>
        </w:r>
      </w:hyperlink>
      <w:r>
        <w:t xml:space="preserve"> che per completezza si ripor</w:t>
      </w:r>
      <w:r>
        <w:t>ta: “1. La carica di assessore è incompatibile con la carica di consigliere comunale e provinciale. 2. Qualora un consigliere comunale o provinciale assuma la carica di assessore nella rispettiva giunta, cessa dalla carica di consigliere all'atto dell'acce</w:t>
      </w:r>
      <w:r>
        <w:t xml:space="preserve">ttazione della nomina, ed al suo posto subentra il primo dei non eletti. 3. Le disposizioni di cui ai commi 1 e 2  non si applicano ai comuni con popolazione sino a 15.000 abitanti. 4. Il coniuge, gli ascendenti, i discendenti, i parenti e affini entro il </w:t>
      </w:r>
      <w:r>
        <w:t>terzo grado, del sindaco o del presidente della giunta provinciale, non possono far parte della rispettiva giunta né essere nominati rappresentanti del comune e della</w:t>
      </w:r>
      <w:r>
        <w:rPr>
          <w:spacing w:val="-10"/>
        </w:rPr>
        <w:t xml:space="preserve"> </w:t>
      </w:r>
      <w:r>
        <w:t>provincia”;</w:t>
      </w:r>
    </w:p>
    <w:p w14:paraId="7485F8D1" w14:textId="77777777" w:rsidR="00495313" w:rsidRDefault="00495313">
      <w:pPr>
        <w:jc w:val="both"/>
        <w:sectPr w:rsidR="00495313">
          <w:headerReference w:type="default" r:id="rId12"/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p w14:paraId="52A7628C" w14:textId="77777777" w:rsidR="00495313" w:rsidRDefault="00F81B71">
      <w:pPr>
        <w:pStyle w:val="Corpotesto"/>
        <w:tabs>
          <w:tab w:val="left" w:pos="1138"/>
          <w:tab w:val="left" w:pos="1768"/>
          <w:tab w:val="left" w:pos="2319"/>
          <w:tab w:val="left" w:pos="3353"/>
          <w:tab w:val="left" w:pos="4415"/>
          <w:tab w:val="left" w:pos="5181"/>
        </w:tabs>
        <w:spacing w:before="119"/>
      </w:pPr>
      <w:r>
        <w:t>-Preso</w:t>
      </w:r>
      <w:r>
        <w:tab/>
        <w:t>atto</w:t>
      </w:r>
      <w:r>
        <w:tab/>
        <w:t>del</w:t>
      </w:r>
      <w:r>
        <w:tab/>
        <w:t>decreto</w:t>
      </w:r>
      <w:r>
        <w:tab/>
        <w:t>numero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7C68DA" w14:textId="77777777" w:rsidR="00495313" w:rsidRDefault="00F81B71">
      <w:pPr>
        <w:pStyle w:val="Corpotesto"/>
        <w:tabs>
          <w:tab w:val="left" w:pos="655"/>
          <w:tab w:val="left" w:pos="2818"/>
        </w:tabs>
        <w:spacing w:before="119"/>
        <w:ind w:left="104"/>
      </w:pPr>
      <w:r>
        <w:br w:type="column"/>
      </w:r>
      <w:r>
        <w:t>del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CF64CA" w14:textId="77777777" w:rsidR="00495313" w:rsidRDefault="00F81B71">
      <w:pPr>
        <w:pStyle w:val="Corpotesto"/>
        <w:tabs>
          <w:tab w:val="left" w:pos="1557"/>
        </w:tabs>
        <w:spacing w:before="119"/>
        <w:ind w:left="104"/>
      </w:pPr>
      <w:r>
        <w:br w:type="column"/>
      </w:r>
      <w:r>
        <w:t>(protocollo</w:t>
      </w:r>
      <w:r>
        <w:tab/>
        <w:t>n.</w:t>
      </w:r>
    </w:p>
    <w:p w14:paraId="5C5A5AF2" w14:textId="77777777" w:rsidR="00495313" w:rsidRDefault="00495313">
      <w:pPr>
        <w:sectPr w:rsidR="00495313">
          <w:type w:val="continuous"/>
          <w:pgSz w:w="11910" w:h="16840"/>
          <w:pgMar w:top="1320" w:right="920" w:bottom="280" w:left="920" w:header="720" w:footer="720" w:gutter="0"/>
          <w:cols w:num="3" w:space="720" w:equalWidth="0">
            <w:col w:w="5183" w:space="40"/>
            <w:col w:w="2819" w:space="39"/>
            <w:col w:w="1989"/>
          </w:cols>
        </w:sectPr>
      </w:pPr>
    </w:p>
    <w:p w14:paraId="115FCD49" w14:textId="77777777" w:rsidR="00495313" w:rsidRDefault="00F81B71">
      <w:pPr>
        <w:pStyle w:val="Corpotesto"/>
        <w:tabs>
          <w:tab w:val="left" w:pos="1334"/>
        </w:tabs>
        <w:ind w:right="2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), che al presente si allega in copia a formarne parte integrante e sostanziale, con il quale il Sindaco ha nominato i componenti dell’esecutivo e tra questi il</w:t>
      </w:r>
      <w:r>
        <w:rPr>
          <w:spacing w:val="-7"/>
        </w:rPr>
        <w:t xml:space="preserve"> </w:t>
      </w:r>
      <w:r>
        <w:t>Vicesindaco:</w:t>
      </w:r>
    </w:p>
    <w:p w14:paraId="2353150E" w14:textId="77777777" w:rsidR="00495313" w:rsidRDefault="00495313">
      <w:pPr>
        <w:pStyle w:val="Corpotesto"/>
        <w:ind w:left="0"/>
        <w:rPr>
          <w:sz w:val="20"/>
        </w:rPr>
      </w:pPr>
    </w:p>
    <w:p w14:paraId="455B8204" w14:textId="77777777" w:rsidR="00495313" w:rsidRDefault="00495313">
      <w:pPr>
        <w:pStyle w:val="Corpotesto"/>
        <w:spacing w:before="5"/>
        <w:ind w:left="0"/>
        <w:rPr>
          <w:sz w:val="18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085"/>
        <w:gridCol w:w="4146"/>
      </w:tblGrid>
      <w:tr w:rsidR="00495313" w14:paraId="14935D13" w14:textId="77777777">
        <w:trPr>
          <w:trHeight w:val="441"/>
        </w:trPr>
        <w:tc>
          <w:tcPr>
            <w:tcW w:w="2163" w:type="dxa"/>
            <w:tcBorders>
              <w:left w:val="single" w:sz="6" w:space="0" w:color="000000"/>
            </w:tcBorders>
          </w:tcPr>
          <w:p w14:paraId="6297BBAD" w14:textId="77777777" w:rsidR="00495313" w:rsidRDefault="00F81B71">
            <w:pPr>
              <w:pStyle w:val="TableParagraph"/>
              <w:spacing w:before="120" w:line="301" w:lineRule="exact"/>
              <w:ind w:left="368" w:right="357"/>
              <w:jc w:val="center"/>
              <w:rPr>
                <w:sz w:val="28"/>
              </w:rPr>
            </w:pPr>
            <w:r>
              <w:rPr>
                <w:sz w:val="28"/>
              </w:rPr>
              <w:t>Carica</w:t>
            </w:r>
          </w:p>
        </w:tc>
        <w:tc>
          <w:tcPr>
            <w:tcW w:w="3085" w:type="dxa"/>
          </w:tcPr>
          <w:p w14:paraId="7207CF16" w14:textId="77777777" w:rsidR="00495313" w:rsidRDefault="00F81B71">
            <w:pPr>
              <w:pStyle w:val="TableParagraph"/>
              <w:spacing w:before="120" w:line="301" w:lineRule="exact"/>
              <w:ind w:left="873"/>
              <w:rPr>
                <w:sz w:val="28"/>
              </w:rPr>
            </w:pPr>
            <w:r>
              <w:rPr>
                <w:sz w:val="28"/>
              </w:rPr>
              <w:t>Nominativo</w:t>
            </w:r>
          </w:p>
        </w:tc>
        <w:tc>
          <w:tcPr>
            <w:tcW w:w="4146" w:type="dxa"/>
          </w:tcPr>
          <w:p w14:paraId="30A066C5" w14:textId="77777777" w:rsidR="00495313" w:rsidRDefault="00F81B71">
            <w:pPr>
              <w:pStyle w:val="TableParagraph"/>
              <w:spacing w:before="120" w:line="301" w:lineRule="exact"/>
              <w:ind w:left="1065"/>
              <w:rPr>
                <w:sz w:val="28"/>
              </w:rPr>
            </w:pPr>
            <w:r>
              <w:rPr>
                <w:sz w:val="28"/>
              </w:rPr>
              <w:t>Delega Assegn</w:t>
            </w:r>
            <w:r>
              <w:rPr>
                <w:sz w:val="28"/>
              </w:rPr>
              <w:t>ata</w:t>
            </w:r>
          </w:p>
        </w:tc>
      </w:tr>
      <w:tr w:rsidR="00495313" w14:paraId="39C0F209" w14:textId="77777777">
        <w:trPr>
          <w:trHeight w:val="444"/>
        </w:trPr>
        <w:tc>
          <w:tcPr>
            <w:tcW w:w="2163" w:type="dxa"/>
            <w:tcBorders>
              <w:left w:val="single" w:sz="6" w:space="0" w:color="000000"/>
            </w:tcBorders>
          </w:tcPr>
          <w:p w14:paraId="74665CA5" w14:textId="77777777" w:rsidR="00495313" w:rsidRDefault="00F81B71">
            <w:pPr>
              <w:pStyle w:val="TableParagraph"/>
              <w:spacing w:before="120" w:line="304" w:lineRule="exact"/>
              <w:ind w:left="369" w:right="357"/>
              <w:jc w:val="center"/>
              <w:rPr>
                <w:sz w:val="28"/>
              </w:rPr>
            </w:pPr>
            <w:r>
              <w:rPr>
                <w:sz w:val="28"/>
              </w:rPr>
              <w:t>Vicesindaco</w:t>
            </w:r>
          </w:p>
        </w:tc>
        <w:tc>
          <w:tcPr>
            <w:tcW w:w="3085" w:type="dxa"/>
          </w:tcPr>
          <w:p w14:paraId="15FD0F5E" w14:textId="77777777" w:rsidR="00495313" w:rsidRDefault="00495313">
            <w:pPr>
              <w:pStyle w:val="TableParagraph"/>
              <w:rPr>
                <w:sz w:val="28"/>
              </w:rPr>
            </w:pPr>
          </w:p>
        </w:tc>
        <w:tc>
          <w:tcPr>
            <w:tcW w:w="4146" w:type="dxa"/>
          </w:tcPr>
          <w:p w14:paraId="28435281" w14:textId="77777777" w:rsidR="00495313" w:rsidRDefault="00495313">
            <w:pPr>
              <w:pStyle w:val="TableParagraph"/>
              <w:rPr>
                <w:sz w:val="28"/>
              </w:rPr>
            </w:pPr>
          </w:p>
        </w:tc>
      </w:tr>
      <w:tr w:rsidR="00495313" w14:paraId="6D84E5CF" w14:textId="77777777">
        <w:trPr>
          <w:trHeight w:val="441"/>
        </w:trPr>
        <w:tc>
          <w:tcPr>
            <w:tcW w:w="2163" w:type="dxa"/>
            <w:tcBorders>
              <w:left w:val="single" w:sz="6" w:space="0" w:color="000000"/>
            </w:tcBorders>
          </w:tcPr>
          <w:p w14:paraId="3A120E93" w14:textId="77777777" w:rsidR="00495313" w:rsidRDefault="00F81B71">
            <w:pPr>
              <w:pStyle w:val="TableParagraph"/>
              <w:spacing w:before="120" w:line="301" w:lineRule="exact"/>
              <w:ind w:left="369" w:right="356"/>
              <w:jc w:val="center"/>
              <w:rPr>
                <w:sz w:val="28"/>
              </w:rPr>
            </w:pPr>
            <w:r>
              <w:rPr>
                <w:sz w:val="28"/>
              </w:rPr>
              <w:t>Assessore</w:t>
            </w:r>
          </w:p>
        </w:tc>
        <w:tc>
          <w:tcPr>
            <w:tcW w:w="3085" w:type="dxa"/>
          </w:tcPr>
          <w:p w14:paraId="61C5E5EE" w14:textId="77777777" w:rsidR="00495313" w:rsidRDefault="00495313">
            <w:pPr>
              <w:pStyle w:val="TableParagraph"/>
              <w:rPr>
                <w:sz w:val="28"/>
              </w:rPr>
            </w:pPr>
          </w:p>
        </w:tc>
        <w:tc>
          <w:tcPr>
            <w:tcW w:w="4146" w:type="dxa"/>
          </w:tcPr>
          <w:p w14:paraId="0012D513" w14:textId="77777777" w:rsidR="00495313" w:rsidRDefault="00495313">
            <w:pPr>
              <w:pStyle w:val="TableParagraph"/>
              <w:rPr>
                <w:sz w:val="28"/>
              </w:rPr>
            </w:pPr>
          </w:p>
        </w:tc>
      </w:tr>
      <w:tr w:rsidR="00495313" w14:paraId="30DCDBC3" w14:textId="77777777">
        <w:trPr>
          <w:trHeight w:val="441"/>
        </w:trPr>
        <w:tc>
          <w:tcPr>
            <w:tcW w:w="2163" w:type="dxa"/>
            <w:tcBorders>
              <w:left w:val="single" w:sz="6" w:space="0" w:color="000000"/>
            </w:tcBorders>
          </w:tcPr>
          <w:p w14:paraId="1E7120FA" w14:textId="77777777" w:rsidR="00495313" w:rsidRDefault="00F81B71">
            <w:pPr>
              <w:pStyle w:val="TableParagraph"/>
              <w:spacing w:before="120" w:line="301" w:lineRule="exact"/>
              <w:ind w:left="369" w:right="356"/>
              <w:jc w:val="center"/>
              <w:rPr>
                <w:sz w:val="28"/>
              </w:rPr>
            </w:pPr>
            <w:r>
              <w:rPr>
                <w:sz w:val="28"/>
              </w:rPr>
              <w:t>Assessore</w:t>
            </w:r>
          </w:p>
        </w:tc>
        <w:tc>
          <w:tcPr>
            <w:tcW w:w="3085" w:type="dxa"/>
          </w:tcPr>
          <w:p w14:paraId="750AD1C9" w14:textId="77777777" w:rsidR="00495313" w:rsidRDefault="00495313">
            <w:pPr>
              <w:pStyle w:val="TableParagraph"/>
              <w:rPr>
                <w:sz w:val="28"/>
              </w:rPr>
            </w:pPr>
          </w:p>
        </w:tc>
        <w:tc>
          <w:tcPr>
            <w:tcW w:w="4146" w:type="dxa"/>
          </w:tcPr>
          <w:p w14:paraId="3B1F0A59" w14:textId="77777777" w:rsidR="00495313" w:rsidRDefault="00495313">
            <w:pPr>
              <w:pStyle w:val="TableParagraph"/>
              <w:rPr>
                <w:sz w:val="28"/>
              </w:rPr>
            </w:pPr>
          </w:p>
        </w:tc>
      </w:tr>
      <w:tr w:rsidR="00495313" w14:paraId="291747DA" w14:textId="77777777">
        <w:trPr>
          <w:trHeight w:val="443"/>
        </w:trPr>
        <w:tc>
          <w:tcPr>
            <w:tcW w:w="2163" w:type="dxa"/>
            <w:tcBorders>
              <w:left w:val="single" w:sz="6" w:space="0" w:color="000000"/>
            </w:tcBorders>
          </w:tcPr>
          <w:p w14:paraId="23E7A31B" w14:textId="77777777" w:rsidR="00495313" w:rsidRDefault="00F81B71">
            <w:pPr>
              <w:pStyle w:val="TableParagraph"/>
              <w:spacing w:before="120" w:line="304" w:lineRule="exact"/>
              <w:ind w:left="369" w:right="356"/>
              <w:jc w:val="center"/>
              <w:rPr>
                <w:sz w:val="28"/>
              </w:rPr>
            </w:pPr>
            <w:r>
              <w:rPr>
                <w:sz w:val="28"/>
              </w:rPr>
              <w:t>Assessore</w:t>
            </w:r>
          </w:p>
        </w:tc>
        <w:tc>
          <w:tcPr>
            <w:tcW w:w="3085" w:type="dxa"/>
          </w:tcPr>
          <w:p w14:paraId="0868FF6E" w14:textId="77777777" w:rsidR="00495313" w:rsidRDefault="00495313">
            <w:pPr>
              <w:pStyle w:val="TableParagraph"/>
              <w:rPr>
                <w:sz w:val="28"/>
              </w:rPr>
            </w:pPr>
          </w:p>
        </w:tc>
        <w:tc>
          <w:tcPr>
            <w:tcW w:w="4146" w:type="dxa"/>
          </w:tcPr>
          <w:p w14:paraId="3F1BD06A" w14:textId="77777777" w:rsidR="00495313" w:rsidRDefault="00495313">
            <w:pPr>
              <w:pStyle w:val="TableParagraph"/>
              <w:rPr>
                <w:sz w:val="28"/>
              </w:rPr>
            </w:pPr>
          </w:p>
        </w:tc>
      </w:tr>
      <w:tr w:rsidR="00495313" w14:paraId="0E01D818" w14:textId="77777777">
        <w:trPr>
          <w:trHeight w:val="441"/>
        </w:trPr>
        <w:tc>
          <w:tcPr>
            <w:tcW w:w="2163" w:type="dxa"/>
            <w:tcBorders>
              <w:left w:val="single" w:sz="6" w:space="0" w:color="000000"/>
            </w:tcBorders>
          </w:tcPr>
          <w:p w14:paraId="7D2C4BC3" w14:textId="77777777" w:rsidR="00495313" w:rsidRDefault="00F81B71">
            <w:pPr>
              <w:pStyle w:val="TableParagraph"/>
              <w:spacing w:before="120" w:line="301" w:lineRule="exact"/>
              <w:ind w:left="369" w:right="356"/>
              <w:jc w:val="center"/>
              <w:rPr>
                <w:sz w:val="28"/>
              </w:rPr>
            </w:pPr>
            <w:r>
              <w:rPr>
                <w:sz w:val="28"/>
              </w:rPr>
              <w:t>Assessore</w:t>
            </w:r>
          </w:p>
        </w:tc>
        <w:tc>
          <w:tcPr>
            <w:tcW w:w="3085" w:type="dxa"/>
          </w:tcPr>
          <w:p w14:paraId="27636251" w14:textId="77777777" w:rsidR="00495313" w:rsidRDefault="00495313">
            <w:pPr>
              <w:pStyle w:val="TableParagraph"/>
              <w:rPr>
                <w:sz w:val="28"/>
              </w:rPr>
            </w:pPr>
          </w:p>
        </w:tc>
        <w:tc>
          <w:tcPr>
            <w:tcW w:w="4146" w:type="dxa"/>
          </w:tcPr>
          <w:p w14:paraId="2ABF7540" w14:textId="77777777" w:rsidR="00495313" w:rsidRDefault="00495313">
            <w:pPr>
              <w:pStyle w:val="TableParagraph"/>
              <w:rPr>
                <w:sz w:val="28"/>
              </w:rPr>
            </w:pPr>
          </w:p>
        </w:tc>
      </w:tr>
      <w:tr w:rsidR="00495313" w14:paraId="52B4072D" w14:textId="77777777">
        <w:trPr>
          <w:trHeight w:val="441"/>
        </w:trPr>
        <w:tc>
          <w:tcPr>
            <w:tcW w:w="2163" w:type="dxa"/>
            <w:tcBorders>
              <w:left w:val="single" w:sz="6" w:space="0" w:color="000000"/>
            </w:tcBorders>
          </w:tcPr>
          <w:p w14:paraId="77CBBAE6" w14:textId="77777777" w:rsidR="00495313" w:rsidRDefault="00F81B71">
            <w:pPr>
              <w:pStyle w:val="TableParagraph"/>
              <w:spacing w:before="120" w:line="301" w:lineRule="exact"/>
              <w:ind w:left="369" w:right="356"/>
              <w:jc w:val="center"/>
              <w:rPr>
                <w:sz w:val="28"/>
              </w:rPr>
            </w:pPr>
            <w:r>
              <w:rPr>
                <w:sz w:val="28"/>
              </w:rPr>
              <w:t>Assessore</w:t>
            </w:r>
          </w:p>
        </w:tc>
        <w:tc>
          <w:tcPr>
            <w:tcW w:w="3085" w:type="dxa"/>
          </w:tcPr>
          <w:p w14:paraId="5DCE13DF" w14:textId="77777777" w:rsidR="00495313" w:rsidRDefault="00495313">
            <w:pPr>
              <w:pStyle w:val="TableParagraph"/>
              <w:rPr>
                <w:sz w:val="28"/>
              </w:rPr>
            </w:pPr>
          </w:p>
        </w:tc>
        <w:tc>
          <w:tcPr>
            <w:tcW w:w="4146" w:type="dxa"/>
          </w:tcPr>
          <w:p w14:paraId="45DD37D7" w14:textId="77777777" w:rsidR="00495313" w:rsidRDefault="00495313">
            <w:pPr>
              <w:pStyle w:val="TableParagraph"/>
              <w:rPr>
                <w:sz w:val="28"/>
              </w:rPr>
            </w:pPr>
          </w:p>
        </w:tc>
      </w:tr>
    </w:tbl>
    <w:p w14:paraId="5F841B8B" w14:textId="77777777" w:rsidR="00495313" w:rsidRDefault="00495313">
      <w:pPr>
        <w:rPr>
          <w:sz w:val="28"/>
        </w:rPr>
        <w:sectPr w:rsidR="00495313"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085"/>
        <w:gridCol w:w="4146"/>
      </w:tblGrid>
      <w:tr w:rsidR="00495313" w14:paraId="1F478940" w14:textId="77777777">
        <w:trPr>
          <w:trHeight w:val="443"/>
        </w:trPr>
        <w:tc>
          <w:tcPr>
            <w:tcW w:w="2163" w:type="dxa"/>
            <w:tcBorders>
              <w:left w:val="single" w:sz="6" w:space="0" w:color="000000"/>
            </w:tcBorders>
          </w:tcPr>
          <w:p w14:paraId="6A21874C" w14:textId="77777777" w:rsidR="00495313" w:rsidRDefault="00F81B71">
            <w:pPr>
              <w:pStyle w:val="TableParagraph"/>
              <w:spacing w:before="120" w:line="304" w:lineRule="exact"/>
              <w:ind w:left="520"/>
              <w:rPr>
                <w:sz w:val="28"/>
              </w:rPr>
            </w:pPr>
            <w:r>
              <w:rPr>
                <w:sz w:val="28"/>
              </w:rPr>
              <w:lastRenderedPageBreak/>
              <w:t>Assessore</w:t>
            </w:r>
          </w:p>
        </w:tc>
        <w:tc>
          <w:tcPr>
            <w:tcW w:w="3085" w:type="dxa"/>
          </w:tcPr>
          <w:p w14:paraId="23506CB7" w14:textId="77777777" w:rsidR="00495313" w:rsidRDefault="00495313">
            <w:pPr>
              <w:pStyle w:val="TableParagraph"/>
              <w:rPr>
                <w:sz w:val="28"/>
              </w:rPr>
            </w:pPr>
          </w:p>
        </w:tc>
        <w:tc>
          <w:tcPr>
            <w:tcW w:w="4146" w:type="dxa"/>
          </w:tcPr>
          <w:p w14:paraId="5F6776DB" w14:textId="77777777" w:rsidR="00495313" w:rsidRDefault="00495313">
            <w:pPr>
              <w:pStyle w:val="TableParagraph"/>
              <w:rPr>
                <w:sz w:val="28"/>
              </w:rPr>
            </w:pPr>
          </w:p>
        </w:tc>
      </w:tr>
      <w:tr w:rsidR="00495313" w14:paraId="5481D63B" w14:textId="77777777">
        <w:trPr>
          <w:trHeight w:val="441"/>
        </w:trPr>
        <w:tc>
          <w:tcPr>
            <w:tcW w:w="2163" w:type="dxa"/>
            <w:tcBorders>
              <w:left w:val="single" w:sz="6" w:space="0" w:color="000000"/>
            </w:tcBorders>
          </w:tcPr>
          <w:p w14:paraId="16691FFD" w14:textId="77777777" w:rsidR="00495313" w:rsidRDefault="00F81B71">
            <w:pPr>
              <w:pStyle w:val="TableParagraph"/>
              <w:spacing w:before="117" w:line="304" w:lineRule="exact"/>
              <w:ind w:left="520"/>
              <w:rPr>
                <w:sz w:val="28"/>
              </w:rPr>
            </w:pPr>
            <w:r>
              <w:rPr>
                <w:sz w:val="28"/>
              </w:rPr>
              <w:t>Assessore</w:t>
            </w:r>
          </w:p>
        </w:tc>
        <w:tc>
          <w:tcPr>
            <w:tcW w:w="3085" w:type="dxa"/>
          </w:tcPr>
          <w:p w14:paraId="59FCE82D" w14:textId="77777777" w:rsidR="00495313" w:rsidRDefault="00495313">
            <w:pPr>
              <w:pStyle w:val="TableParagraph"/>
              <w:rPr>
                <w:sz w:val="28"/>
              </w:rPr>
            </w:pPr>
          </w:p>
        </w:tc>
        <w:tc>
          <w:tcPr>
            <w:tcW w:w="4146" w:type="dxa"/>
          </w:tcPr>
          <w:p w14:paraId="5663FA30" w14:textId="77777777" w:rsidR="00495313" w:rsidRDefault="00495313">
            <w:pPr>
              <w:pStyle w:val="TableParagraph"/>
              <w:rPr>
                <w:sz w:val="28"/>
              </w:rPr>
            </w:pPr>
          </w:p>
        </w:tc>
      </w:tr>
      <w:tr w:rsidR="00495313" w14:paraId="63B271FA" w14:textId="77777777">
        <w:trPr>
          <w:trHeight w:val="441"/>
        </w:trPr>
        <w:tc>
          <w:tcPr>
            <w:tcW w:w="2163" w:type="dxa"/>
            <w:tcBorders>
              <w:left w:val="single" w:sz="6" w:space="0" w:color="000000"/>
            </w:tcBorders>
          </w:tcPr>
          <w:p w14:paraId="14048AA0" w14:textId="77777777" w:rsidR="00495313" w:rsidRDefault="00F81B71">
            <w:pPr>
              <w:pStyle w:val="TableParagraph"/>
              <w:spacing w:before="117" w:line="304" w:lineRule="exact"/>
              <w:ind w:left="520"/>
              <w:rPr>
                <w:sz w:val="28"/>
              </w:rPr>
            </w:pPr>
            <w:r>
              <w:rPr>
                <w:sz w:val="28"/>
              </w:rPr>
              <w:t>Assessore</w:t>
            </w:r>
          </w:p>
        </w:tc>
        <w:tc>
          <w:tcPr>
            <w:tcW w:w="3085" w:type="dxa"/>
          </w:tcPr>
          <w:p w14:paraId="0D46D2E7" w14:textId="77777777" w:rsidR="00495313" w:rsidRDefault="00495313">
            <w:pPr>
              <w:pStyle w:val="TableParagraph"/>
              <w:rPr>
                <w:sz w:val="28"/>
              </w:rPr>
            </w:pPr>
          </w:p>
        </w:tc>
        <w:tc>
          <w:tcPr>
            <w:tcW w:w="4146" w:type="dxa"/>
          </w:tcPr>
          <w:p w14:paraId="711592ED" w14:textId="77777777" w:rsidR="00495313" w:rsidRDefault="00495313">
            <w:pPr>
              <w:pStyle w:val="TableParagraph"/>
              <w:rPr>
                <w:sz w:val="28"/>
              </w:rPr>
            </w:pPr>
          </w:p>
        </w:tc>
      </w:tr>
      <w:tr w:rsidR="00495313" w14:paraId="3E49C549" w14:textId="77777777">
        <w:trPr>
          <w:trHeight w:val="443"/>
        </w:trPr>
        <w:tc>
          <w:tcPr>
            <w:tcW w:w="2163" w:type="dxa"/>
            <w:tcBorders>
              <w:left w:val="single" w:sz="6" w:space="0" w:color="000000"/>
            </w:tcBorders>
          </w:tcPr>
          <w:p w14:paraId="4FCB629B" w14:textId="77777777" w:rsidR="00495313" w:rsidRDefault="00F81B71">
            <w:pPr>
              <w:pStyle w:val="TableParagraph"/>
              <w:spacing w:before="120" w:line="304" w:lineRule="exact"/>
              <w:ind w:left="520"/>
              <w:rPr>
                <w:sz w:val="28"/>
              </w:rPr>
            </w:pPr>
            <w:r>
              <w:rPr>
                <w:sz w:val="28"/>
              </w:rPr>
              <w:t>Assessore</w:t>
            </w:r>
          </w:p>
        </w:tc>
        <w:tc>
          <w:tcPr>
            <w:tcW w:w="3085" w:type="dxa"/>
          </w:tcPr>
          <w:p w14:paraId="4892A588" w14:textId="77777777" w:rsidR="00495313" w:rsidRDefault="00495313">
            <w:pPr>
              <w:pStyle w:val="TableParagraph"/>
              <w:rPr>
                <w:sz w:val="28"/>
              </w:rPr>
            </w:pPr>
          </w:p>
        </w:tc>
        <w:tc>
          <w:tcPr>
            <w:tcW w:w="4146" w:type="dxa"/>
          </w:tcPr>
          <w:p w14:paraId="3CE52859" w14:textId="77777777" w:rsidR="00495313" w:rsidRDefault="00495313">
            <w:pPr>
              <w:pStyle w:val="TableParagraph"/>
              <w:rPr>
                <w:sz w:val="28"/>
              </w:rPr>
            </w:pPr>
          </w:p>
        </w:tc>
      </w:tr>
    </w:tbl>
    <w:p w14:paraId="2F224B07" w14:textId="77777777" w:rsidR="00495313" w:rsidRDefault="00495313">
      <w:pPr>
        <w:pStyle w:val="Corpotesto"/>
        <w:ind w:left="0"/>
        <w:rPr>
          <w:sz w:val="20"/>
        </w:rPr>
      </w:pPr>
    </w:p>
    <w:p w14:paraId="51A50649" w14:textId="77777777" w:rsidR="00495313" w:rsidRDefault="00495313">
      <w:pPr>
        <w:pStyle w:val="Corpotesto"/>
        <w:spacing w:before="10"/>
        <w:ind w:left="0"/>
        <w:rPr>
          <w:sz w:val="20"/>
        </w:rPr>
      </w:pPr>
    </w:p>
    <w:p w14:paraId="42EF07F2" w14:textId="7537C388" w:rsidR="00495313" w:rsidRDefault="00F81B71">
      <w:pPr>
        <w:pStyle w:val="Corpotesto"/>
        <w:spacing w:before="89"/>
        <w:ind w:right="220"/>
        <w:jc w:val="both"/>
      </w:pPr>
      <w:r>
        <w:t>Accertato che i componenti dell’esecutivo sono tutti in possesso dei requisiti di candidabilità, compatibilità ed eleggibilità alla carica di Consigliere comunale e non sono “coniuge, ascendente, discendente, parente o affine sino al terzo grado del Sindac</w:t>
      </w:r>
      <w:r>
        <w:t>o” (</w:t>
      </w:r>
      <w:hyperlink r:id="rId13" w:history="1">
        <w:r w:rsidRPr="00085A49">
          <w:rPr>
            <w:rStyle w:val="Collegamentoipertestuale"/>
          </w:rPr>
          <w:t>articolo 64, comma 3, del TUEL</w:t>
        </w:r>
      </w:hyperlink>
      <w:r>
        <w:t>);</w:t>
      </w:r>
    </w:p>
    <w:p w14:paraId="67109831" w14:textId="77777777" w:rsidR="00495313" w:rsidRDefault="00F81B71">
      <w:pPr>
        <w:pStyle w:val="Corpotesto"/>
        <w:spacing w:before="121"/>
        <w:jc w:val="both"/>
      </w:pPr>
      <w:r>
        <w:t>Tutto ciò premesso, il Consiglio comunale</w:t>
      </w:r>
    </w:p>
    <w:p w14:paraId="02AB825F" w14:textId="77777777" w:rsidR="00495313" w:rsidRDefault="00495313">
      <w:pPr>
        <w:pStyle w:val="Corpotesto"/>
        <w:ind w:left="0"/>
        <w:rPr>
          <w:sz w:val="20"/>
        </w:rPr>
      </w:pPr>
    </w:p>
    <w:p w14:paraId="08B51F93" w14:textId="77777777" w:rsidR="00495313" w:rsidRDefault="00495313">
      <w:pPr>
        <w:pStyle w:val="Corpotesto"/>
        <w:spacing w:before="1"/>
        <w:ind w:left="0"/>
        <w:rPr>
          <w:sz w:val="21"/>
        </w:rPr>
      </w:pPr>
    </w:p>
    <w:p w14:paraId="27891290" w14:textId="77777777" w:rsidR="00495313" w:rsidRDefault="00F81B71">
      <w:pPr>
        <w:pStyle w:val="Corpotesto"/>
        <w:spacing w:before="89"/>
        <w:ind w:left="3262" w:right="3265"/>
        <w:jc w:val="center"/>
      </w:pPr>
      <w:r>
        <w:t>PRENDE ATTO</w:t>
      </w:r>
    </w:p>
    <w:p w14:paraId="5099E5B6" w14:textId="77777777" w:rsidR="00495313" w:rsidRDefault="00F81B71">
      <w:pPr>
        <w:pStyle w:val="Corpotesto"/>
        <w:spacing w:before="120"/>
      </w:pPr>
      <w:r>
        <w:t>della composizione della Giunta.</w:t>
      </w:r>
    </w:p>
    <w:sectPr w:rsidR="00495313">
      <w:pgSz w:w="11910" w:h="16840"/>
      <w:pgMar w:top="140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D2239" w14:textId="77777777" w:rsidR="00F81B71" w:rsidRDefault="00F81B71" w:rsidP="00085A49">
      <w:r>
        <w:separator/>
      </w:r>
    </w:p>
  </w:endnote>
  <w:endnote w:type="continuationSeparator" w:id="0">
    <w:p w14:paraId="528A64D2" w14:textId="77777777" w:rsidR="00F81B71" w:rsidRDefault="00F81B71" w:rsidP="0008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ED5A8" w14:textId="77777777" w:rsidR="00F81B71" w:rsidRDefault="00F81B71" w:rsidP="00085A49">
      <w:r>
        <w:separator/>
      </w:r>
    </w:p>
  </w:footnote>
  <w:footnote w:type="continuationSeparator" w:id="0">
    <w:p w14:paraId="326FB134" w14:textId="77777777" w:rsidR="00F81B71" w:rsidRDefault="00F81B71" w:rsidP="0008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7CC16" w14:textId="019B0E58" w:rsidR="00085A49" w:rsidRDefault="00085A49" w:rsidP="00085A49">
    <w:pPr>
      <w:pStyle w:val="Intestazione"/>
      <w:jc w:val="center"/>
    </w:pPr>
    <w:r w:rsidRPr="006C3FC8">
      <w:rPr>
        <w:noProof/>
      </w:rPr>
      <w:drawing>
        <wp:inline distT="0" distB="0" distL="0" distR="0" wp14:anchorId="4C1DD25F" wp14:editId="2F1C763B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D11009" w14:textId="77777777" w:rsidR="00085A49" w:rsidRDefault="00085A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13"/>
    <w:rsid w:val="00085A49"/>
    <w:rsid w:val="00495313"/>
    <w:rsid w:val="00F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2A61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85A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A4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85A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A49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85A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5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0-08-18;267~art46!vig" TargetMode="External"/><Relationship Id="rId13" Type="http://schemas.openxmlformats.org/officeDocument/2006/relationships/hyperlink" Target="http://www.normattiva.it/uri-res/N2Ls?urn:nir:stato:decreto.legislativo:2000-08-18;267~art64!vi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.legislativo:2000-08-18;267~art46!vi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legislativo:2000-08-18;267~art46!vig" TargetMode="External"/><Relationship Id="rId11" Type="http://schemas.openxmlformats.org/officeDocument/2006/relationships/hyperlink" Target="http://www.normattiva.it/uri-res/N2Ls?urn:nir:stato:decreto.legislativo:2000-08-18;267~art64!vi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legislativo:2000-08-18;267~art47!vi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legge:2014-04-07;56~art1!vi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2020-09-15T09:40:00Z</dcterms:created>
  <dcterms:modified xsi:type="dcterms:W3CDTF">2020-09-15T09:40:00Z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