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869BE" w14:textId="77777777" w:rsidR="00A967B5" w:rsidRDefault="00260D08">
      <w:pPr>
        <w:spacing w:before="78"/>
        <w:ind w:left="100"/>
        <w:rPr>
          <w:sz w:val="24"/>
        </w:rPr>
      </w:pPr>
      <w:r>
        <w:rPr>
          <w:sz w:val="24"/>
        </w:rPr>
        <w:t>Delibera Consiglio Comunale</w:t>
      </w:r>
    </w:p>
    <w:p w14:paraId="13AD989C" w14:textId="00AE7570" w:rsidR="00A967B5" w:rsidRDefault="007F0D04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673EDD" wp14:editId="4303B7C9">
                <wp:simplePos x="0" y="0"/>
                <wp:positionH relativeFrom="page">
                  <wp:posOffset>791210</wp:posOffset>
                </wp:positionH>
                <wp:positionV relativeFrom="paragraph">
                  <wp:posOffset>158115</wp:posOffset>
                </wp:positionV>
                <wp:extent cx="5982970" cy="4318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431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35E6E" w14:textId="37BF4755" w:rsidR="00A967B5" w:rsidRDefault="00260D08">
                            <w:pPr>
                              <w:spacing w:before="17" w:line="235" w:lineRule="auto"/>
                              <w:ind w:left="108" w:right="15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Oggetto: Nomina dei componenti la “Commissione per l’aggiornamento degli elenchi comunali dei Giudici Popolari” </w:t>
                            </w:r>
                            <w:r>
                              <w:rPr>
                                <w:i/>
                                <w:sz w:val="28"/>
                              </w:rPr>
                              <w:t>(</w:t>
                            </w:r>
                            <w:hyperlink r:id="rId6" w:history="1">
                              <w:r w:rsidRPr="007F0D04">
                                <w:rPr>
                                  <w:rStyle w:val="Collegamentoipertestuale"/>
                                  <w:i/>
                                  <w:sz w:val="28"/>
                                </w:rPr>
                                <w:t>legge 287/1951 art.</w:t>
                              </w:r>
                              <w:r w:rsidRPr="007F0D04">
                                <w:rPr>
                                  <w:rStyle w:val="Collegamentoipertestuale"/>
                                  <w:i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 w:rsidRPr="007F0D04">
                                <w:rPr>
                                  <w:rStyle w:val="Collegamentoipertestuale"/>
                                  <w:i/>
                                  <w:sz w:val="28"/>
                                </w:rPr>
                                <w:t>13</w:t>
                              </w:r>
                            </w:hyperlink>
                            <w:r>
                              <w:rPr>
                                <w:i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73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3pt;margin-top:12.45pt;width:471.1pt;height:3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" filled="f" strokeweight=".48pt">
                <v:textbox inset="0,0,0,0">
                  <w:txbxContent>
                    <w:p w14:paraId="4BE35E6E" w14:textId="37BF4755" w:rsidR="00A967B5" w:rsidRDefault="00260D08">
                      <w:pPr>
                        <w:spacing w:before="17" w:line="235" w:lineRule="auto"/>
                        <w:ind w:left="108" w:right="150"/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Oggetto: Nomina dei componenti la “Commissione per l’aggiornamento degli elenchi comunali dei Giudici Popolari” </w:t>
                      </w:r>
                      <w:r>
                        <w:rPr>
                          <w:i/>
                          <w:sz w:val="28"/>
                        </w:rPr>
                        <w:t>(</w:t>
                      </w:r>
                      <w:hyperlink r:id="rId7" w:history="1">
                        <w:r w:rsidRPr="007F0D04">
                          <w:rPr>
                            <w:rStyle w:val="Collegamentoipertestuale"/>
                            <w:i/>
                            <w:sz w:val="28"/>
                          </w:rPr>
                          <w:t>legge 287/1951 art.</w:t>
                        </w:r>
                        <w:r w:rsidRPr="007F0D04">
                          <w:rPr>
                            <w:rStyle w:val="Collegamentoipertestuale"/>
                            <w:i/>
                            <w:spacing w:val="-15"/>
                            <w:sz w:val="28"/>
                          </w:rPr>
                          <w:t xml:space="preserve"> </w:t>
                        </w:r>
                        <w:r w:rsidRPr="007F0D04">
                          <w:rPr>
                            <w:rStyle w:val="Collegamentoipertestuale"/>
                            <w:i/>
                            <w:sz w:val="28"/>
                          </w:rPr>
                          <w:t>13</w:t>
                        </w:r>
                      </w:hyperlink>
                      <w:r>
                        <w:rPr>
                          <w:i/>
                          <w:sz w:val="2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C45272" w14:textId="77777777" w:rsidR="00A967B5" w:rsidRDefault="00A967B5">
      <w:pPr>
        <w:pStyle w:val="Corpotesto"/>
        <w:rPr>
          <w:sz w:val="20"/>
        </w:rPr>
      </w:pPr>
    </w:p>
    <w:p w14:paraId="579B949D" w14:textId="77777777" w:rsidR="00A967B5" w:rsidRDefault="00260D08">
      <w:pPr>
        <w:pStyle w:val="Corpotesto"/>
        <w:spacing w:before="259"/>
        <w:ind w:left="3271" w:right="3288"/>
        <w:jc w:val="center"/>
      </w:pPr>
      <w:r>
        <w:t>IL CONSIGLIO COMUNALE</w:t>
      </w:r>
    </w:p>
    <w:p w14:paraId="06A12387" w14:textId="77777777" w:rsidR="00A967B5" w:rsidRDefault="00260D08">
      <w:pPr>
        <w:pStyle w:val="Corpotesto"/>
        <w:spacing w:before="5"/>
        <w:ind w:left="100"/>
      </w:pPr>
      <w:r>
        <w:t>Premesso che:</w:t>
      </w:r>
    </w:p>
    <w:p w14:paraId="6EDCB95F" w14:textId="77777777" w:rsidR="00A967B5" w:rsidRDefault="00260D08">
      <w:pPr>
        <w:pStyle w:val="Corpotesto"/>
        <w:spacing w:before="4"/>
        <w:ind w:left="100" w:right="128"/>
        <w:jc w:val="both"/>
      </w:pPr>
      <w:r>
        <w:t>in base alle vigenti disposizioni di legge i Comuni sono tenuti ogni due anni all</w:t>
      </w:r>
      <w:r>
        <w:t>’aggiornamento degli elenchi dei Giudici popolari di Corte d’Assise e di Corte di Assise di Appello.</w:t>
      </w:r>
    </w:p>
    <w:p w14:paraId="24C06EB8" w14:textId="6C833BAB" w:rsidR="00A967B5" w:rsidRDefault="00260D08">
      <w:pPr>
        <w:pStyle w:val="Corpotesto"/>
        <w:spacing w:before="6"/>
        <w:ind w:left="100" w:right="128"/>
        <w:jc w:val="both"/>
      </w:pPr>
      <w:r>
        <w:t xml:space="preserve">L’aggiornamento avviene il secondo anno di ogni biennio ai sensi </w:t>
      </w:r>
      <w:hyperlink r:id="rId8" w:history="1">
        <w:r w:rsidRPr="007F0D04">
          <w:rPr>
            <w:rStyle w:val="Collegamentoipertestuale"/>
          </w:rPr>
          <w:t>dell’art. 21 della Legge 10.04.1951 n. 287 e ss.mm.ii</w:t>
        </w:r>
      </w:hyperlink>
      <w:r>
        <w:t xml:space="preserve"> avente ad oggetto: “Riordinamento de</w:t>
      </w:r>
      <w:r>
        <w:t xml:space="preserve">i giudici di Assise”; L’organo deputato alla formazione o integrazione biennale dei suddetti elenchi è una commissione comunale appositamente prevista </w:t>
      </w:r>
      <w:hyperlink r:id="rId9" w:history="1">
        <w:r w:rsidRPr="007F0D04">
          <w:rPr>
            <w:rStyle w:val="Collegamentoipertestuale"/>
          </w:rPr>
          <w:t>dall’art. 13 della sopraccitata L. 287/1951</w:t>
        </w:r>
      </w:hyperlink>
      <w:r>
        <w:t>;</w:t>
      </w:r>
    </w:p>
    <w:p w14:paraId="05645067" w14:textId="77777777" w:rsidR="00A967B5" w:rsidRDefault="00260D08">
      <w:pPr>
        <w:pStyle w:val="Corpotesto"/>
        <w:spacing w:before="4" w:line="242" w:lineRule="auto"/>
        <w:ind w:left="100" w:right="128"/>
        <w:jc w:val="both"/>
      </w:pPr>
      <w:r>
        <w:t>Tale Commissione è composta dal Sindaco o da un suo delegato</w:t>
      </w:r>
      <w:r>
        <w:t>, che la presiede, e da due Consiglieri Comunali;</w:t>
      </w:r>
    </w:p>
    <w:p w14:paraId="746D44CC" w14:textId="4CDD80E4" w:rsidR="00A967B5" w:rsidRDefault="00260D08">
      <w:pPr>
        <w:pStyle w:val="Corpotesto"/>
        <w:spacing w:before="115"/>
        <w:ind w:left="100" w:right="231" w:firstLine="26"/>
        <w:jc w:val="both"/>
      </w:pPr>
      <w:r>
        <w:t>dato atto che sulla presente proposta è stato acquisito il preventivo parere favorevole in ordine alla regolarità tecnica, espresso dal responsabile competente (</w:t>
      </w:r>
      <w:hyperlink r:id="rId10" w:history="1">
        <w:r w:rsidRPr="007F0D04">
          <w:rPr>
            <w:rStyle w:val="Collegamentoipertestuale"/>
          </w:rPr>
          <w:t>art. 49 del TUEL</w:t>
        </w:r>
      </w:hyperlink>
      <w:r>
        <w:t>).</w:t>
      </w:r>
    </w:p>
    <w:p w14:paraId="1EF54DF5" w14:textId="77777777" w:rsidR="00A967B5" w:rsidRDefault="00A967B5">
      <w:pPr>
        <w:pStyle w:val="Corpotesto"/>
        <w:spacing w:before="6"/>
      </w:pPr>
    </w:p>
    <w:p w14:paraId="43BC6F9E" w14:textId="77777777" w:rsidR="00A967B5" w:rsidRDefault="00260D08">
      <w:pPr>
        <w:pStyle w:val="Corpotesto"/>
        <w:ind w:left="100" w:right="231"/>
        <w:jc w:val="both"/>
      </w:pPr>
      <w:r>
        <w:t>Il Sindaco comunicando all’assemblea i contenuti meramente tecnici delle funzioni svolte dalla Commissione, avvia il procedimento elettorale, con votazione in forma segreta.</w:t>
      </w:r>
    </w:p>
    <w:p w14:paraId="2F12E268" w14:textId="77777777" w:rsidR="00A967B5" w:rsidRDefault="00260D08">
      <w:pPr>
        <w:pStyle w:val="Corpotesto"/>
        <w:tabs>
          <w:tab w:val="left" w:pos="3578"/>
        </w:tabs>
        <w:spacing w:before="121" w:line="328" w:lineRule="auto"/>
        <w:ind w:left="213" w:right="4351"/>
      </w:pPr>
      <w:r>
        <w:t xml:space="preserve">Designati i consiglieri scrutatori nelle persone di: 1)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8479BD" w14:textId="77777777" w:rsidR="00A967B5" w:rsidRDefault="00260D08">
      <w:pPr>
        <w:pStyle w:val="Corpotesto"/>
        <w:tabs>
          <w:tab w:val="left" w:pos="3578"/>
        </w:tabs>
        <w:spacing w:before="4"/>
        <w:ind w:left="213"/>
      </w:pPr>
      <w:r>
        <w:t xml:space="preserve">2)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3F05DA" w14:textId="77777777" w:rsidR="00A967B5" w:rsidRDefault="00260D08">
      <w:pPr>
        <w:pStyle w:val="Corpotesto"/>
        <w:tabs>
          <w:tab w:val="left" w:pos="3578"/>
        </w:tabs>
        <w:spacing w:before="119"/>
        <w:ind w:left="213"/>
      </w:pPr>
      <w:r>
        <w:t xml:space="preserve">3)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D04CE6" w14:textId="77777777" w:rsidR="00A967B5" w:rsidRDefault="00A967B5">
      <w:pPr>
        <w:pStyle w:val="Corpotesto"/>
        <w:rPr>
          <w:sz w:val="29"/>
        </w:rPr>
      </w:pPr>
    </w:p>
    <w:p w14:paraId="1522CFBA" w14:textId="77777777" w:rsidR="00A967B5" w:rsidRDefault="00260D08">
      <w:pPr>
        <w:pStyle w:val="Corpotesto"/>
        <w:spacing w:before="89"/>
        <w:ind w:left="213"/>
      </w:pPr>
      <w:r>
        <w:t>Distrib</w:t>
      </w:r>
      <w:r>
        <w:t>uite le schede, avvenuta la votazione e svoltosi lo scrutinio a cura dei nominati scrutatori, il risultato è il seguente:</w:t>
      </w:r>
    </w:p>
    <w:p w14:paraId="7387C093" w14:textId="77777777" w:rsidR="00A967B5" w:rsidRDefault="00260D08">
      <w:pPr>
        <w:pStyle w:val="Corpotesto"/>
        <w:tabs>
          <w:tab w:val="left" w:pos="1827"/>
          <w:tab w:val="left" w:pos="4058"/>
          <w:tab w:val="left" w:pos="5765"/>
        </w:tabs>
        <w:spacing w:before="122"/>
        <w:ind w:left="239"/>
      </w:pPr>
      <w:r>
        <w:t>presenti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votanti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astenuti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9F3B579" w14:textId="77777777" w:rsidR="00A967B5" w:rsidRDefault="00260D08">
      <w:pPr>
        <w:pStyle w:val="Corpotesto"/>
        <w:tabs>
          <w:tab w:val="left" w:pos="5939"/>
          <w:tab w:val="left" w:pos="7891"/>
        </w:tabs>
        <w:spacing w:before="122"/>
        <w:ind w:left="239"/>
      </w:pPr>
      <w:r>
        <w:t>Hanno ottenuto</w:t>
      </w:r>
      <w:r>
        <w:rPr>
          <w:spacing w:val="-7"/>
        </w:rPr>
        <w:t xml:space="preserve"> </w:t>
      </w:r>
      <w:r>
        <w:t>voti:</w:t>
      </w:r>
      <w:r>
        <w:rPr>
          <w:spacing w:val="-2"/>
        </w:rPr>
        <w:t xml:space="preserve"> </w:t>
      </w:r>
      <w:r>
        <w:t>cons.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  <w:r>
        <w:rPr>
          <w:spacing w:val="-5"/>
        </w:rPr>
        <w:t xml:space="preserve"> </w:t>
      </w:r>
      <w:r>
        <w:t>preferenze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5B65A" w14:textId="77777777" w:rsidR="00A967B5" w:rsidRDefault="00260D08">
      <w:pPr>
        <w:pStyle w:val="Corpotesto"/>
        <w:tabs>
          <w:tab w:val="left" w:pos="6052"/>
        </w:tabs>
        <w:spacing w:before="122" w:line="331" w:lineRule="auto"/>
        <w:ind w:left="2690" w:right="2133" w:hanging="20"/>
        <w:jc w:val="both"/>
      </w:pPr>
      <w:r>
        <w:t>cons.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:preferenze</w:t>
      </w:r>
      <w:r>
        <w:rPr>
          <w:u w:val="single"/>
        </w:rPr>
        <w:t xml:space="preserve"> </w:t>
      </w:r>
      <w:r>
        <w:t xml:space="preserve"> cons.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:preferenze schede bianche</w:t>
      </w:r>
      <w:r>
        <w:rPr>
          <w:u w:val="single"/>
        </w:rPr>
        <w:t xml:space="preserve"> </w:t>
      </w:r>
      <w:r>
        <w:t>, schede</w:t>
      </w:r>
      <w:r>
        <w:rPr>
          <w:spacing w:val="-46"/>
        </w:rPr>
        <w:t xml:space="preserve"> </w:t>
      </w:r>
      <w:r>
        <w:t>nulle</w:t>
      </w:r>
      <w:r>
        <w:rPr>
          <w:u w:val="single"/>
        </w:rPr>
        <w:t xml:space="preserve">        </w:t>
      </w:r>
      <w:r>
        <w:rPr>
          <w:spacing w:val="25"/>
          <w:u w:val="single"/>
        </w:rPr>
        <w:t xml:space="preserve"> </w:t>
      </w:r>
    </w:p>
    <w:p w14:paraId="05B17AE8" w14:textId="77777777" w:rsidR="00A967B5" w:rsidRDefault="00A967B5">
      <w:pPr>
        <w:pStyle w:val="Corpotesto"/>
        <w:spacing w:before="6"/>
        <w:rPr>
          <w:sz w:val="10"/>
        </w:rPr>
      </w:pPr>
    </w:p>
    <w:p w14:paraId="04C4D274" w14:textId="77777777" w:rsidR="00A967B5" w:rsidRDefault="00260D08">
      <w:pPr>
        <w:pStyle w:val="Corpotesto"/>
        <w:tabs>
          <w:tab w:val="left" w:pos="2889"/>
        </w:tabs>
        <w:spacing w:before="89"/>
        <w:ind w:left="210" w:right="1126"/>
      </w:pPr>
      <w:r>
        <w:t>Vengono proclamati eletti componenti della Commissione, i sigg. Consiglieri: 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CA5A26" w14:textId="77777777" w:rsidR="00A967B5" w:rsidRDefault="00260D08">
      <w:pPr>
        <w:pStyle w:val="Corpotesto"/>
        <w:tabs>
          <w:tab w:val="left" w:pos="2889"/>
        </w:tabs>
        <w:spacing w:line="321" w:lineRule="exact"/>
        <w:ind w:left="210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F12B83" w14:textId="77777777" w:rsidR="00A967B5" w:rsidRDefault="00A967B5">
      <w:pPr>
        <w:spacing w:line="321" w:lineRule="exact"/>
        <w:sectPr w:rsidR="00A967B5">
          <w:headerReference w:type="default" r:id="rId11"/>
          <w:type w:val="continuous"/>
          <w:pgSz w:w="11920" w:h="16850"/>
          <w:pgMar w:top="1360" w:right="900" w:bottom="280" w:left="920" w:header="720" w:footer="720" w:gutter="0"/>
          <w:cols w:space="720"/>
        </w:sectPr>
      </w:pPr>
    </w:p>
    <w:p w14:paraId="0D1F13EA" w14:textId="77777777" w:rsidR="00A967B5" w:rsidRDefault="00260D08">
      <w:pPr>
        <w:pStyle w:val="Corpotesto"/>
        <w:spacing w:before="59"/>
        <w:ind w:left="213"/>
      </w:pPr>
      <w:r>
        <w:lastRenderedPageBreak/>
        <w:t>Tanto richiamato e premesso, il Consiglio comunale</w:t>
      </w:r>
    </w:p>
    <w:p w14:paraId="7C4BAAE1" w14:textId="77777777" w:rsidR="00A967B5" w:rsidRDefault="00A967B5">
      <w:pPr>
        <w:pStyle w:val="Corpotesto"/>
        <w:spacing w:before="3"/>
        <w:rPr>
          <w:sz w:val="20"/>
        </w:rPr>
      </w:pPr>
    </w:p>
    <w:p w14:paraId="7DE786C0" w14:textId="77777777" w:rsidR="00A967B5" w:rsidRDefault="00260D08">
      <w:pPr>
        <w:pStyle w:val="Corpotesto"/>
        <w:spacing w:before="89"/>
        <w:ind w:left="3270" w:right="3288"/>
        <w:jc w:val="center"/>
      </w:pPr>
      <w:r>
        <w:t>PRENDE ATTO</w:t>
      </w:r>
    </w:p>
    <w:p w14:paraId="36296E42" w14:textId="77777777" w:rsidR="00A967B5" w:rsidRDefault="00260D08">
      <w:pPr>
        <w:pStyle w:val="Corpotesto"/>
        <w:spacing w:before="119"/>
        <w:ind w:left="242"/>
      </w:pPr>
      <w:r>
        <w:t>dell’esito finale della votazione.</w:t>
      </w:r>
    </w:p>
    <w:p w14:paraId="6E77B337" w14:textId="77777777" w:rsidR="00A967B5" w:rsidRDefault="00A967B5">
      <w:pPr>
        <w:sectPr w:rsidR="00A967B5">
          <w:pgSz w:w="11920" w:h="16850"/>
          <w:pgMar w:top="1380" w:right="900" w:bottom="280" w:left="920" w:header="720" w:footer="720" w:gutter="0"/>
          <w:cols w:space="720"/>
        </w:sectPr>
      </w:pPr>
    </w:p>
    <w:p w14:paraId="01232BA3" w14:textId="77777777" w:rsidR="00A967B5" w:rsidRDefault="00260D08">
      <w:pPr>
        <w:pStyle w:val="Corpotesto"/>
        <w:spacing w:before="77"/>
        <w:ind w:left="105" w:right="198"/>
        <w:jc w:val="both"/>
      </w:pPr>
      <w:r>
        <w:lastRenderedPageBreak/>
        <w:t xml:space="preserve">Inoltre, il Consiglio comunale valutata l’urgenza imposta dalla volontà concludere tempestivamente il procedimento e rendere operativa senza indugio la rinnovata Commissione,  con  ulteriore  votazione   in </w:t>
      </w:r>
      <w:r>
        <w:t xml:space="preserve">  forma   palese,   con</w:t>
      </w:r>
      <w:r>
        <w:rPr>
          <w:u w:val="single"/>
        </w:rPr>
        <w:t xml:space="preserve">   </w:t>
      </w:r>
      <w:r>
        <w:t>voti   favorevoli,</w:t>
      </w:r>
      <w:r>
        <w:rPr>
          <w:u w:val="single"/>
        </w:rPr>
        <w:t xml:space="preserve"> </w:t>
      </w:r>
      <w:r>
        <w:t xml:space="preserve">voti contrari </w:t>
      </w:r>
      <w:r>
        <w:rPr>
          <w:spacing w:val="-3"/>
        </w:rPr>
        <w:t>e</w:t>
      </w:r>
      <w:r>
        <w:rPr>
          <w:spacing w:val="-3"/>
          <w:u w:val="single"/>
        </w:rPr>
        <w:t xml:space="preserve"> </w:t>
      </w:r>
      <w:r>
        <w:t>consiglieri</w:t>
      </w:r>
      <w:r>
        <w:rPr>
          <w:spacing w:val="14"/>
        </w:rPr>
        <w:t xml:space="preserve"> </w:t>
      </w:r>
      <w:r>
        <w:t>astenuti:</w:t>
      </w:r>
    </w:p>
    <w:p w14:paraId="3D4DB9FF" w14:textId="77777777" w:rsidR="00A967B5" w:rsidRDefault="00A967B5">
      <w:pPr>
        <w:pStyle w:val="Corpotesto"/>
        <w:spacing w:before="5"/>
      </w:pPr>
    </w:p>
    <w:p w14:paraId="69E544CD" w14:textId="77777777" w:rsidR="00A967B5" w:rsidRDefault="00260D08">
      <w:pPr>
        <w:pStyle w:val="Corpotesto"/>
        <w:ind w:left="4102" w:right="4202"/>
        <w:jc w:val="center"/>
      </w:pPr>
      <w:r>
        <w:t>DELIBERA</w:t>
      </w:r>
    </w:p>
    <w:p w14:paraId="1B8D579F" w14:textId="447D68E1" w:rsidR="00A967B5" w:rsidRDefault="00260D08">
      <w:pPr>
        <w:pStyle w:val="Corpotesto"/>
        <w:spacing w:before="120" w:line="242" w:lineRule="auto"/>
        <w:ind w:left="105" w:right="101"/>
        <w:jc w:val="both"/>
      </w:pPr>
      <w:r>
        <w:t>di dichiarare immediatamente eseguibile la presente (</w:t>
      </w:r>
      <w:hyperlink r:id="rId12" w:history="1">
        <w:r w:rsidRPr="007F0D04">
          <w:rPr>
            <w:rStyle w:val="Collegamentoipertestuale"/>
          </w:rPr>
          <w:t>articolo 134 comma 4 del TUEL</w:t>
        </w:r>
      </w:hyperlink>
      <w:r>
        <w:t>).</w:t>
      </w:r>
    </w:p>
    <w:sectPr w:rsidR="00A967B5">
      <w:pgSz w:w="11910" w:h="16840"/>
      <w:pgMar w:top="1400" w:right="10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29C58" w14:textId="77777777" w:rsidR="00260D08" w:rsidRDefault="00260D08" w:rsidP="007F0D04">
      <w:r>
        <w:separator/>
      </w:r>
    </w:p>
  </w:endnote>
  <w:endnote w:type="continuationSeparator" w:id="0">
    <w:p w14:paraId="2EB22D06" w14:textId="77777777" w:rsidR="00260D08" w:rsidRDefault="00260D08" w:rsidP="007F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A9ABF" w14:textId="77777777" w:rsidR="00260D08" w:rsidRDefault="00260D08" w:rsidP="007F0D04">
      <w:r>
        <w:separator/>
      </w:r>
    </w:p>
  </w:footnote>
  <w:footnote w:type="continuationSeparator" w:id="0">
    <w:p w14:paraId="61CA797B" w14:textId="77777777" w:rsidR="00260D08" w:rsidRDefault="00260D08" w:rsidP="007F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8CE3" w14:textId="78047E06" w:rsidR="007F0D04" w:rsidRDefault="007F0D04" w:rsidP="007F0D04">
    <w:pPr>
      <w:pStyle w:val="Intestazione"/>
      <w:jc w:val="center"/>
    </w:pPr>
    <w:r w:rsidRPr="006C3FC8">
      <w:rPr>
        <w:noProof/>
      </w:rPr>
      <w:drawing>
        <wp:inline distT="0" distB="0" distL="0" distR="0" wp14:anchorId="2556C6B7" wp14:editId="0D121261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039AA" w14:textId="77777777" w:rsidR="007F0D04" w:rsidRDefault="007F0D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B5"/>
    <w:rsid w:val="00260D08"/>
    <w:rsid w:val="007F0D04"/>
    <w:rsid w:val="00A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097A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0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D0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0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D04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F0D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0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51-04-10;287art21!vi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legge:1951-04-10;287art13!vig" TargetMode="External"/><Relationship Id="rId12" Type="http://schemas.openxmlformats.org/officeDocument/2006/relationships/hyperlink" Target="http://www.normattiva.it/uri-res/N2Ls?urn:nir:stato:decreto.legislativo:2000-08-18;267~art134!v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legge:1951-04-10;287art13!vi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normattiva.it/uri-res/N2Ls?urn:nir:stato:decreto.legislativo:2000-08-18;267~art49!vi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legge:1951-04-10;287art13!vi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2020-09-15T08:19:00Z</dcterms:created>
  <dcterms:modified xsi:type="dcterms:W3CDTF">2020-09-15T08:19:00Z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