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5E733" w14:textId="77777777" w:rsidR="00540EA0" w:rsidRDefault="001761A1">
      <w:pPr>
        <w:spacing w:before="68"/>
        <w:ind w:left="212"/>
        <w:rPr>
          <w:b/>
          <w:sz w:val="24"/>
        </w:rPr>
      </w:pPr>
      <w:r>
        <w:rPr>
          <w:b/>
          <w:sz w:val="24"/>
        </w:rPr>
        <w:t>PROVVEDIMENTO SINDACALE DI NOMINA DI RAPPRESENTANTI DEL COMUNE PRESSO ENTI, AZIENDE, ISTITUZIONI</w:t>
      </w:r>
    </w:p>
    <w:p w14:paraId="37537548" w14:textId="77777777" w:rsidR="00540EA0" w:rsidRDefault="00540EA0">
      <w:pPr>
        <w:pStyle w:val="Corpotesto"/>
        <w:spacing w:before="3"/>
        <w:ind w:left="0"/>
        <w:jc w:val="left"/>
        <w:rPr>
          <w:b/>
          <w:sz w:val="16"/>
        </w:rPr>
      </w:pPr>
    </w:p>
    <w:p w14:paraId="17C71843" w14:textId="77777777" w:rsidR="00540EA0" w:rsidRDefault="001761A1">
      <w:pPr>
        <w:pStyle w:val="Corpotesto"/>
        <w:spacing w:before="90"/>
        <w:ind w:left="4336" w:right="4319"/>
        <w:jc w:val="center"/>
      </w:pPr>
      <w:r>
        <w:t>IL SINDACO</w:t>
      </w:r>
    </w:p>
    <w:p w14:paraId="4BFA724B" w14:textId="77777777" w:rsidR="00540EA0" w:rsidRDefault="001761A1">
      <w:pPr>
        <w:pStyle w:val="Corpotesto"/>
        <w:jc w:val="left"/>
      </w:pPr>
      <w:r>
        <w:t>Visti:</w:t>
      </w:r>
    </w:p>
    <w:p w14:paraId="61FF8AAD" w14:textId="77777777" w:rsidR="00540EA0" w:rsidRDefault="001761A1">
      <w:pPr>
        <w:pStyle w:val="Paragrafoelenco"/>
        <w:numPr>
          <w:ilvl w:val="0"/>
          <w:numId w:val="1"/>
        </w:numPr>
        <w:tabs>
          <w:tab w:val="left" w:pos="413"/>
        </w:tabs>
        <w:ind w:left="412" w:hanging="201"/>
        <w:rPr>
          <w:sz w:val="24"/>
        </w:rPr>
      </w:pPr>
      <w:r>
        <w:rPr>
          <w:sz w:val="24"/>
        </w:rPr>
        <w:t>l’art. 2449 del Codice civile - Società con partecipazione dello Stato o di enti</w:t>
      </w:r>
      <w:r>
        <w:rPr>
          <w:spacing w:val="-8"/>
          <w:sz w:val="24"/>
        </w:rPr>
        <w:t xml:space="preserve"> </w:t>
      </w:r>
      <w:r>
        <w:rPr>
          <w:sz w:val="24"/>
        </w:rPr>
        <w:t>pubblici;</w:t>
      </w:r>
    </w:p>
    <w:p w14:paraId="2377EA1D" w14:textId="727B681B" w:rsidR="00540EA0" w:rsidRDefault="001761A1">
      <w:pPr>
        <w:pStyle w:val="Paragrafoelenco"/>
        <w:numPr>
          <w:ilvl w:val="0"/>
          <w:numId w:val="1"/>
        </w:numPr>
        <w:tabs>
          <w:tab w:val="left" w:pos="358"/>
        </w:tabs>
        <w:ind w:right="191" w:firstLine="0"/>
        <w:rPr>
          <w:sz w:val="24"/>
        </w:rPr>
      </w:pPr>
      <w:r>
        <w:rPr>
          <w:sz w:val="24"/>
        </w:rPr>
        <w:t xml:space="preserve">il </w:t>
      </w:r>
      <w:hyperlink r:id="rId7" w:history="1">
        <w:proofErr w:type="spellStart"/>
        <w:r w:rsidRPr="00C22583">
          <w:rPr>
            <w:rStyle w:val="Collegamentoipertestuale"/>
            <w:sz w:val="24"/>
          </w:rPr>
          <w:t>D.Lgs.</w:t>
        </w:r>
        <w:proofErr w:type="spellEnd"/>
        <w:r w:rsidRPr="00C22583">
          <w:rPr>
            <w:rStyle w:val="Collegamentoipertestuale"/>
            <w:sz w:val="24"/>
          </w:rPr>
          <w:t xml:space="preserve"> 19 agosto 2016, n.175</w:t>
        </w:r>
      </w:hyperlink>
      <w:r>
        <w:rPr>
          <w:sz w:val="24"/>
        </w:rPr>
        <w:t xml:space="preserve"> “Testo unico in materia di società a partecipazione pubblica”, con particolare riferimento </w:t>
      </w:r>
      <w:hyperlink r:id="rId8" w:history="1">
        <w:r w:rsidRPr="00C22583">
          <w:rPr>
            <w:rStyle w:val="Collegamentoipertestuale"/>
            <w:sz w:val="24"/>
          </w:rPr>
          <w:t>all’art.</w:t>
        </w:r>
        <w:r w:rsidRPr="00C22583">
          <w:rPr>
            <w:rStyle w:val="Collegamentoipertestuale"/>
            <w:spacing w:val="-2"/>
            <w:sz w:val="24"/>
          </w:rPr>
          <w:t xml:space="preserve"> </w:t>
        </w:r>
        <w:r w:rsidRPr="00C22583">
          <w:rPr>
            <w:rStyle w:val="Collegamentoipertestuale"/>
            <w:sz w:val="24"/>
          </w:rPr>
          <w:t>11</w:t>
        </w:r>
      </w:hyperlink>
      <w:r>
        <w:rPr>
          <w:sz w:val="24"/>
        </w:rPr>
        <w:t>;</w:t>
      </w:r>
    </w:p>
    <w:p w14:paraId="4A5D1727" w14:textId="4D595543" w:rsidR="00540EA0" w:rsidRDefault="001761A1">
      <w:pPr>
        <w:pStyle w:val="Paragrafoelenco"/>
        <w:numPr>
          <w:ilvl w:val="0"/>
          <w:numId w:val="1"/>
        </w:numPr>
        <w:tabs>
          <w:tab w:val="left" w:pos="401"/>
        </w:tabs>
        <w:ind w:right="194" w:firstLine="0"/>
        <w:rPr>
          <w:sz w:val="24"/>
        </w:rPr>
      </w:pPr>
      <w:r>
        <w:rPr>
          <w:sz w:val="24"/>
        </w:rPr>
        <w:t xml:space="preserve">il </w:t>
      </w:r>
      <w:hyperlink r:id="rId9" w:history="1">
        <w:proofErr w:type="spellStart"/>
        <w:r w:rsidRPr="00C22583">
          <w:rPr>
            <w:rStyle w:val="Collegamentoipertestuale"/>
            <w:sz w:val="24"/>
          </w:rPr>
          <w:t>D.Lgs.</w:t>
        </w:r>
        <w:proofErr w:type="spellEnd"/>
        <w:r w:rsidRPr="00C22583">
          <w:rPr>
            <w:rStyle w:val="Collegamentoipertestuale"/>
            <w:sz w:val="24"/>
          </w:rPr>
          <w:t xml:space="preserve"> 8 aprile 2013, n. 3</w:t>
        </w:r>
        <w:r w:rsidRPr="00C22583">
          <w:rPr>
            <w:rStyle w:val="Collegamentoipertestuale"/>
            <w:sz w:val="24"/>
          </w:rPr>
          <w:t>9</w:t>
        </w:r>
      </w:hyperlink>
      <w:r>
        <w:rPr>
          <w:sz w:val="24"/>
        </w:rPr>
        <w:t xml:space="preserve"> “Disposizioni in materia di </w:t>
      </w:r>
      <w:proofErr w:type="spellStart"/>
      <w:r>
        <w:rPr>
          <w:sz w:val="24"/>
        </w:rPr>
        <w:t>inconferibilità</w:t>
      </w:r>
      <w:proofErr w:type="spellEnd"/>
      <w:r>
        <w:rPr>
          <w:sz w:val="24"/>
        </w:rPr>
        <w:t xml:space="preserve"> e incompatibilità di incarichi presso le pubbliche amministrazioni e presso gli enti privati in controllo pubblico, a norma </w:t>
      </w:r>
      <w:hyperlink r:id="rId10" w:history="1">
        <w:r w:rsidRPr="00C22583">
          <w:rPr>
            <w:rStyle w:val="Collegamentoipertestuale"/>
            <w:sz w:val="24"/>
          </w:rPr>
          <w:t>dell’art. 1, commi 49 e 50, della legge 6 novembre 2012, n.</w:t>
        </w:r>
        <w:r w:rsidRPr="00C22583">
          <w:rPr>
            <w:rStyle w:val="Collegamentoipertestuale"/>
            <w:spacing w:val="-6"/>
            <w:sz w:val="24"/>
          </w:rPr>
          <w:t xml:space="preserve"> </w:t>
        </w:r>
        <w:r w:rsidRPr="00C22583">
          <w:rPr>
            <w:rStyle w:val="Collegamentoipertestuale"/>
            <w:sz w:val="24"/>
          </w:rPr>
          <w:t>190</w:t>
        </w:r>
      </w:hyperlink>
      <w:r>
        <w:rPr>
          <w:sz w:val="24"/>
        </w:rPr>
        <w:t>”;</w:t>
      </w:r>
    </w:p>
    <w:p w14:paraId="704E0AFB" w14:textId="76AE9D19" w:rsidR="00540EA0" w:rsidRDefault="001761A1">
      <w:pPr>
        <w:pStyle w:val="Paragrafoelenco"/>
        <w:numPr>
          <w:ilvl w:val="0"/>
          <w:numId w:val="1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 xml:space="preserve">il </w:t>
      </w:r>
      <w:hyperlink r:id="rId11" w:history="1">
        <w:proofErr w:type="spellStart"/>
        <w:r w:rsidRPr="00C22583">
          <w:rPr>
            <w:rStyle w:val="Collegamentoipertestuale"/>
            <w:sz w:val="24"/>
          </w:rPr>
          <w:t>D.Lgs.</w:t>
        </w:r>
        <w:proofErr w:type="spellEnd"/>
        <w:r w:rsidRPr="00C22583">
          <w:rPr>
            <w:rStyle w:val="Collegamentoipertestuale"/>
            <w:sz w:val="24"/>
          </w:rPr>
          <w:t xml:space="preserve"> 31 dicembr</w:t>
        </w:r>
        <w:r w:rsidRPr="00C22583">
          <w:rPr>
            <w:rStyle w:val="Collegamentoipertestuale"/>
            <w:sz w:val="24"/>
          </w:rPr>
          <w:t>e 2012, n. 235, in particolare l’art. 10, c.</w:t>
        </w:r>
        <w:r w:rsidRPr="00C22583">
          <w:rPr>
            <w:rStyle w:val="Collegamentoipertestuale"/>
            <w:spacing w:val="-5"/>
            <w:sz w:val="24"/>
          </w:rPr>
          <w:t xml:space="preserve"> </w:t>
        </w:r>
        <w:r w:rsidRPr="00C22583">
          <w:rPr>
            <w:rStyle w:val="Collegamentoipertestuale"/>
            <w:sz w:val="24"/>
          </w:rPr>
          <w:t>2</w:t>
        </w:r>
      </w:hyperlink>
      <w:r>
        <w:rPr>
          <w:sz w:val="24"/>
        </w:rPr>
        <w:t>;</w:t>
      </w:r>
    </w:p>
    <w:p w14:paraId="7D083AE3" w14:textId="2192BDA0" w:rsidR="00540EA0" w:rsidRDefault="001761A1">
      <w:pPr>
        <w:pStyle w:val="Paragrafoelenco"/>
        <w:numPr>
          <w:ilvl w:val="0"/>
          <w:numId w:val="1"/>
        </w:numPr>
        <w:tabs>
          <w:tab w:val="left" w:pos="358"/>
        </w:tabs>
        <w:ind w:right="195" w:firstLine="0"/>
        <w:rPr>
          <w:sz w:val="24"/>
        </w:rPr>
      </w:pPr>
      <w:r>
        <w:rPr>
          <w:sz w:val="24"/>
        </w:rPr>
        <w:t xml:space="preserve">il </w:t>
      </w:r>
      <w:hyperlink r:id="rId12" w:history="1">
        <w:proofErr w:type="spellStart"/>
        <w:r w:rsidRPr="00C22583">
          <w:rPr>
            <w:rStyle w:val="Collegamentoipertestuale"/>
            <w:sz w:val="24"/>
          </w:rPr>
          <w:t>D.Lgs.</w:t>
        </w:r>
        <w:proofErr w:type="spellEnd"/>
        <w:r w:rsidRPr="00C22583">
          <w:rPr>
            <w:rStyle w:val="Collegamentoipertestuale"/>
            <w:sz w:val="24"/>
          </w:rPr>
          <w:t xml:space="preserve"> n. 33/2013</w:t>
        </w:r>
      </w:hyperlink>
      <w:r>
        <w:rPr>
          <w:sz w:val="24"/>
        </w:rPr>
        <w:t xml:space="preserve"> “Riordino della disciplina riguardante gli obblighi di pubblicità, trasparenza e diffusione di informazioni da parte delle pubbliche</w:t>
      </w:r>
      <w:r>
        <w:rPr>
          <w:spacing w:val="-5"/>
          <w:sz w:val="24"/>
        </w:rPr>
        <w:t xml:space="preserve"> </w:t>
      </w:r>
      <w:r>
        <w:rPr>
          <w:sz w:val="24"/>
        </w:rPr>
        <w:t>amministrazioni”;</w:t>
      </w:r>
    </w:p>
    <w:p w14:paraId="3FC81279" w14:textId="4A4AE527" w:rsidR="00540EA0" w:rsidRDefault="001761A1">
      <w:pPr>
        <w:pStyle w:val="Paragrafoelenco"/>
        <w:numPr>
          <w:ilvl w:val="0"/>
          <w:numId w:val="1"/>
        </w:numPr>
        <w:tabs>
          <w:tab w:val="left" w:pos="528"/>
        </w:tabs>
        <w:ind w:right="191" w:firstLine="0"/>
        <w:rPr>
          <w:sz w:val="24"/>
        </w:rPr>
      </w:pPr>
      <w:r>
        <w:rPr>
          <w:color w:val="0C0C0E"/>
          <w:sz w:val="24"/>
        </w:rPr>
        <w:t xml:space="preserve">la </w:t>
      </w:r>
      <w:hyperlink r:id="rId13" w:history="1">
        <w:r w:rsidRPr="00C22583">
          <w:rPr>
            <w:rStyle w:val="Collegamentoipertestuale"/>
            <w:sz w:val="24"/>
          </w:rPr>
          <w:t>legge 12 luglio 2011, n. 120</w:t>
        </w:r>
      </w:hyperlink>
      <w:r>
        <w:rPr>
          <w:color w:val="0C0C0E"/>
          <w:sz w:val="24"/>
        </w:rPr>
        <w:t xml:space="preserve"> “Mod</w:t>
      </w:r>
      <w:r>
        <w:rPr>
          <w:color w:val="0C0C0E"/>
          <w:sz w:val="24"/>
        </w:rPr>
        <w:t xml:space="preserve">ifiche al testo unico delle disposizioni in materia di intermediazione finanziaria, di cui al </w:t>
      </w:r>
      <w:hyperlink r:id="rId14" w:history="1">
        <w:r w:rsidRPr="00C22583">
          <w:rPr>
            <w:rStyle w:val="Collegamentoipertestuale"/>
            <w:sz w:val="24"/>
          </w:rPr>
          <w:t>decreto legislativo 24 febbraio 1998, n. 58</w:t>
        </w:r>
      </w:hyperlink>
      <w:r>
        <w:rPr>
          <w:color w:val="0C0C0E"/>
          <w:sz w:val="24"/>
        </w:rPr>
        <w:t xml:space="preserve">, concernenti la </w:t>
      </w:r>
      <w:proofErr w:type="spellStart"/>
      <w:r>
        <w:rPr>
          <w:color w:val="0C0C0E"/>
          <w:sz w:val="24"/>
        </w:rPr>
        <w:t>parita'</w:t>
      </w:r>
      <w:proofErr w:type="spellEnd"/>
      <w:r>
        <w:rPr>
          <w:color w:val="0C0C0E"/>
          <w:sz w:val="24"/>
        </w:rPr>
        <w:t xml:space="preserve"> di accesso agli organi di amministrazione e di controllo delle </w:t>
      </w:r>
      <w:proofErr w:type="spellStart"/>
      <w:r>
        <w:rPr>
          <w:color w:val="0C0C0E"/>
          <w:sz w:val="24"/>
        </w:rPr>
        <w:t>societa'</w:t>
      </w:r>
      <w:proofErr w:type="spellEnd"/>
      <w:r>
        <w:rPr>
          <w:color w:val="0C0C0E"/>
          <w:sz w:val="24"/>
        </w:rPr>
        <w:t xml:space="preserve"> quotate in mercati reg</w:t>
      </w:r>
      <w:r>
        <w:rPr>
          <w:color w:val="0C0C0E"/>
          <w:sz w:val="24"/>
        </w:rPr>
        <w:t>olamentati”.</w:t>
      </w:r>
    </w:p>
    <w:p w14:paraId="7979771B" w14:textId="77777777" w:rsidR="00540EA0" w:rsidRDefault="001761A1">
      <w:pPr>
        <w:pStyle w:val="Corpotesto"/>
        <w:spacing w:before="1"/>
      </w:pPr>
      <w:r>
        <w:t>Premesso che:</w:t>
      </w:r>
    </w:p>
    <w:p w14:paraId="43DB4E21" w14:textId="14BC31ED" w:rsidR="00540EA0" w:rsidRDefault="00C22583">
      <w:pPr>
        <w:pStyle w:val="Paragrafoelenco"/>
        <w:numPr>
          <w:ilvl w:val="0"/>
          <w:numId w:val="1"/>
        </w:numPr>
        <w:tabs>
          <w:tab w:val="left" w:pos="367"/>
        </w:tabs>
        <w:ind w:right="191" w:firstLine="0"/>
        <w:rPr>
          <w:sz w:val="24"/>
        </w:rPr>
      </w:pPr>
      <w:hyperlink r:id="rId15" w:history="1">
        <w:r w:rsidR="001761A1" w:rsidRPr="00C22583">
          <w:rPr>
            <w:rStyle w:val="Collegamentoipertestuale"/>
            <w:sz w:val="24"/>
          </w:rPr>
          <w:t xml:space="preserve">l’art. 50, comma 8, </w:t>
        </w:r>
        <w:proofErr w:type="spellStart"/>
        <w:r w:rsidR="001761A1" w:rsidRPr="00C22583">
          <w:rPr>
            <w:rStyle w:val="Collegamentoipertestuale"/>
            <w:sz w:val="24"/>
          </w:rPr>
          <w:t>D.Lgs</w:t>
        </w:r>
        <w:proofErr w:type="spellEnd"/>
        <w:r w:rsidR="001761A1" w:rsidRPr="00C22583">
          <w:rPr>
            <w:rStyle w:val="Collegamentoipertestuale"/>
            <w:sz w:val="24"/>
          </w:rPr>
          <w:t xml:space="preserve"> n. 267/2000</w:t>
        </w:r>
      </w:hyperlink>
      <w:r w:rsidR="001761A1">
        <w:rPr>
          <w:sz w:val="24"/>
        </w:rPr>
        <w:t>, recita testualmente “Sulla base degli indirizzi stabiliti dal consiglio, il sindaco e il presidente della provincia provvedono alla nomina, alla designazione e alla revoca dei rappresentanti del comune e della provinc</w:t>
      </w:r>
      <w:r w:rsidR="001761A1">
        <w:rPr>
          <w:sz w:val="24"/>
        </w:rPr>
        <w:t>ia presso enti, aziende ed</w:t>
      </w:r>
      <w:r w:rsidR="001761A1">
        <w:rPr>
          <w:spacing w:val="-6"/>
          <w:sz w:val="24"/>
        </w:rPr>
        <w:t xml:space="preserve"> </w:t>
      </w:r>
      <w:r w:rsidR="001761A1">
        <w:rPr>
          <w:sz w:val="24"/>
        </w:rPr>
        <w:t>istituzioni”,</w:t>
      </w:r>
    </w:p>
    <w:p w14:paraId="4F5123A0" w14:textId="77777777" w:rsidR="00540EA0" w:rsidRDefault="001761A1">
      <w:pPr>
        <w:pStyle w:val="Paragrafoelenco"/>
        <w:numPr>
          <w:ilvl w:val="0"/>
          <w:numId w:val="1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le nomine e le designazioni debbono essere effettuate entro 45 giorni</w:t>
      </w:r>
      <w:r>
        <w:rPr>
          <w:spacing w:val="-6"/>
          <w:sz w:val="24"/>
        </w:rPr>
        <w:t xml:space="preserve"> </w:t>
      </w:r>
      <w:r>
        <w:rPr>
          <w:sz w:val="24"/>
        </w:rPr>
        <w:t>dall’insediamento:</w:t>
      </w:r>
    </w:p>
    <w:p w14:paraId="76D09095" w14:textId="4694DC49" w:rsidR="00540EA0" w:rsidRDefault="001761A1">
      <w:pPr>
        <w:pStyle w:val="Paragrafoelenco"/>
        <w:numPr>
          <w:ilvl w:val="0"/>
          <w:numId w:val="1"/>
        </w:numPr>
        <w:tabs>
          <w:tab w:val="left" w:pos="363"/>
          <w:tab w:val="left" w:pos="4944"/>
        </w:tabs>
        <w:ind w:right="193" w:firstLine="0"/>
        <w:rPr>
          <w:sz w:val="24"/>
        </w:rPr>
      </w:pPr>
      <w:r>
        <w:rPr>
          <w:sz w:val="24"/>
        </w:rPr>
        <w:t>con delibera del Consiglio</w:t>
      </w:r>
      <w:r>
        <w:rPr>
          <w:spacing w:val="35"/>
          <w:sz w:val="24"/>
        </w:rPr>
        <w:t xml:space="preserve"> </w:t>
      </w:r>
      <w:r>
        <w:rPr>
          <w:sz w:val="24"/>
        </w:rPr>
        <w:t>comunale</w:t>
      </w:r>
      <w:r>
        <w:rPr>
          <w:spacing w:val="8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 xml:space="preserve">      </w:t>
      </w:r>
      <w:r>
        <w:rPr>
          <w:sz w:val="24"/>
        </w:rPr>
        <w:t xml:space="preserve"> sono stati approvati, così come stabilito  dal citato </w:t>
      </w:r>
      <w:hyperlink r:id="rId16" w:history="1">
        <w:r w:rsidRPr="00C22583">
          <w:rPr>
            <w:rStyle w:val="Collegamentoipertestuale"/>
            <w:sz w:val="24"/>
          </w:rPr>
          <w:t>art. 50</w:t>
        </w:r>
      </w:hyperlink>
      <w:r>
        <w:rPr>
          <w:sz w:val="24"/>
        </w:rPr>
        <w:t>, gli indirizzi</w:t>
      </w:r>
      <w:r>
        <w:rPr>
          <w:sz w:val="24"/>
        </w:rPr>
        <w:t xml:space="preserve"> per la</w:t>
      </w:r>
      <w:r>
        <w:rPr>
          <w:spacing w:val="-3"/>
          <w:sz w:val="24"/>
        </w:rPr>
        <w:t xml:space="preserve"> </w:t>
      </w:r>
      <w:r>
        <w:rPr>
          <w:sz w:val="24"/>
        </w:rPr>
        <w:t>nomina;</w:t>
      </w:r>
    </w:p>
    <w:p w14:paraId="3A478DB4" w14:textId="77777777" w:rsidR="00540EA0" w:rsidRDefault="001761A1">
      <w:pPr>
        <w:pStyle w:val="Corpotesto"/>
        <w:ind w:right="198"/>
      </w:pPr>
      <w:r>
        <w:t>Viste le designazioni pervenute e preso atto delle osservazioni presentate dalla Conferenza dei capigruppo/Commissione consiliare competente;</w:t>
      </w:r>
    </w:p>
    <w:p w14:paraId="661409AE" w14:textId="77777777" w:rsidR="00540EA0" w:rsidRDefault="001761A1">
      <w:pPr>
        <w:pStyle w:val="Corpotesto"/>
        <w:ind w:right="878"/>
      </w:pPr>
      <w:r>
        <w:t>Valutati i curricula dei cittadini che hanno presentato regolare istanza per la relativa nomina; A</w:t>
      </w:r>
      <w:r>
        <w:t>ccertate, altresì, le competenze dei soggetti individuati per la nomina;</w:t>
      </w:r>
    </w:p>
    <w:p w14:paraId="29C44981" w14:textId="77777777" w:rsidR="00540EA0" w:rsidRDefault="001761A1">
      <w:pPr>
        <w:pStyle w:val="Corpotesto"/>
        <w:ind w:left="4333" w:right="4319"/>
        <w:jc w:val="center"/>
      </w:pPr>
      <w:r>
        <w:t>Decreta</w:t>
      </w:r>
    </w:p>
    <w:p w14:paraId="6A44A5EA" w14:textId="77777777" w:rsidR="00540EA0" w:rsidRDefault="001761A1">
      <w:pPr>
        <w:pStyle w:val="Corpotesto"/>
        <w:tabs>
          <w:tab w:val="left" w:leader="dot" w:pos="7015"/>
        </w:tabs>
        <w:jc w:val="left"/>
      </w:pPr>
      <w:r>
        <w:t>di nominare rappresentanti del</w:t>
      </w:r>
      <w:r>
        <w:rPr>
          <w:spacing w:val="-5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tab/>
        <w:t>nei seguenti</w:t>
      </w:r>
      <w:r>
        <w:rPr>
          <w:spacing w:val="-1"/>
        </w:rPr>
        <w:t xml:space="preserve"> </w:t>
      </w:r>
      <w:r>
        <w:t>organismi:</w:t>
      </w:r>
    </w:p>
    <w:p w14:paraId="669DE9DB" w14:textId="77777777" w:rsidR="00540EA0" w:rsidRDefault="00540EA0">
      <w:pPr>
        <w:pStyle w:val="Corpotesto"/>
        <w:spacing w:before="1"/>
        <w:ind w:left="0"/>
        <w:jc w:val="left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604"/>
        <w:gridCol w:w="4058"/>
        <w:gridCol w:w="2349"/>
      </w:tblGrid>
      <w:tr w:rsidR="00540EA0" w14:paraId="3424B88E" w14:textId="77777777">
        <w:trPr>
          <w:trHeight w:val="515"/>
        </w:trPr>
        <w:tc>
          <w:tcPr>
            <w:tcW w:w="816" w:type="dxa"/>
          </w:tcPr>
          <w:p w14:paraId="53216D52" w14:textId="77777777" w:rsidR="00540EA0" w:rsidRDefault="001761A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N. O.</w:t>
            </w:r>
          </w:p>
        </w:tc>
        <w:tc>
          <w:tcPr>
            <w:tcW w:w="2604" w:type="dxa"/>
          </w:tcPr>
          <w:p w14:paraId="446BB8CF" w14:textId="77777777" w:rsidR="00540EA0" w:rsidRDefault="001761A1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Ente/Azienda/Istituzione</w:t>
            </w:r>
          </w:p>
        </w:tc>
        <w:tc>
          <w:tcPr>
            <w:tcW w:w="4058" w:type="dxa"/>
          </w:tcPr>
          <w:p w14:paraId="739DA4C1" w14:textId="77777777" w:rsidR="00540EA0" w:rsidRDefault="001761A1">
            <w:pPr>
              <w:pStyle w:val="TableParagraph"/>
              <w:spacing w:before="120"/>
              <w:ind w:left="437"/>
              <w:rPr>
                <w:sz w:val="20"/>
              </w:rPr>
            </w:pPr>
            <w:r>
              <w:rPr>
                <w:sz w:val="20"/>
              </w:rPr>
              <w:t>Numero dei rappresentanti da designare</w:t>
            </w:r>
          </w:p>
        </w:tc>
        <w:tc>
          <w:tcPr>
            <w:tcW w:w="2349" w:type="dxa"/>
          </w:tcPr>
          <w:p w14:paraId="01C66BDD" w14:textId="77777777" w:rsidR="00540EA0" w:rsidRDefault="001761A1">
            <w:pPr>
              <w:pStyle w:val="TableParagraph"/>
              <w:spacing w:before="120"/>
              <w:ind w:left="112"/>
              <w:rPr>
                <w:sz w:val="20"/>
              </w:rPr>
            </w:pPr>
            <w:r>
              <w:rPr>
                <w:sz w:val="20"/>
              </w:rPr>
              <w:t>Rappresentante nominato</w:t>
            </w:r>
          </w:p>
        </w:tc>
      </w:tr>
      <w:tr w:rsidR="00540EA0" w14:paraId="1ABC2A0E" w14:textId="77777777">
        <w:trPr>
          <w:trHeight w:val="515"/>
        </w:trPr>
        <w:tc>
          <w:tcPr>
            <w:tcW w:w="816" w:type="dxa"/>
          </w:tcPr>
          <w:p w14:paraId="7FC8ED10" w14:textId="77777777" w:rsidR="00540EA0" w:rsidRDefault="001761A1">
            <w:pPr>
              <w:pStyle w:val="TableParagraph"/>
              <w:spacing w:before="11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4" w:type="dxa"/>
          </w:tcPr>
          <w:p w14:paraId="5A3B689C" w14:textId="77777777" w:rsidR="00540EA0" w:rsidRDefault="00540EA0">
            <w:pPr>
              <w:pStyle w:val="TableParagraph"/>
            </w:pPr>
          </w:p>
        </w:tc>
        <w:tc>
          <w:tcPr>
            <w:tcW w:w="4058" w:type="dxa"/>
          </w:tcPr>
          <w:p w14:paraId="342914CB" w14:textId="77777777" w:rsidR="00540EA0" w:rsidRDefault="00540EA0">
            <w:pPr>
              <w:pStyle w:val="TableParagraph"/>
            </w:pPr>
          </w:p>
        </w:tc>
        <w:tc>
          <w:tcPr>
            <w:tcW w:w="2349" w:type="dxa"/>
          </w:tcPr>
          <w:p w14:paraId="270F8DB5" w14:textId="77777777" w:rsidR="00540EA0" w:rsidRDefault="00540EA0">
            <w:pPr>
              <w:pStyle w:val="TableParagraph"/>
            </w:pPr>
          </w:p>
        </w:tc>
      </w:tr>
      <w:tr w:rsidR="00540EA0" w14:paraId="1084A064" w14:textId="77777777">
        <w:trPr>
          <w:trHeight w:val="517"/>
        </w:trPr>
        <w:tc>
          <w:tcPr>
            <w:tcW w:w="816" w:type="dxa"/>
          </w:tcPr>
          <w:p w14:paraId="3FA611A2" w14:textId="77777777" w:rsidR="00540EA0" w:rsidRDefault="001761A1">
            <w:pPr>
              <w:pStyle w:val="TableParagraph"/>
              <w:spacing w:before="12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4" w:type="dxa"/>
          </w:tcPr>
          <w:p w14:paraId="60FF56AE" w14:textId="77777777" w:rsidR="00540EA0" w:rsidRDefault="00540EA0">
            <w:pPr>
              <w:pStyle w:val="TableParagraph"/>
            </w:pPr>
          </w:p>
        </w:tc>
        <w:tc>
          <w:tcPr>
            <w:tcW w:w="4058" w:type="dxa"/>
          </w:tcPr>
          <w:p w14:paraId="3EAD4174" w14:textId="77777777" w:rsidR="00540EA0" w:rsidRDefault="00540EA0">
            <w:pPr>
              <w:pStyle w:val="TableParagraph"/>
            </w:pPr>
          </w:p>
        </w:tc>
        <w:tc>
          <w:tcPr>
            <w:tcW w:w="2349" w:type="dxa"/>
          </w:tcPr>
          <w:p w14:paraId="17B4DCBB" w14:textId="77777777" w:rsidR="00540EA0" w:rsidRDefault="00540EA0">
            <w:pPr>
              <w:pStyle w:val="TableParagraph"/>
            </w:pPr>
          </w:p>
        </w:tc>
      </w:tr>
      <w:tr w:rsidR="00540EA0" w14:paraId="353CB07B" w14:textId="77777777">
        <w:trPr>
          <w:trHeight w:val="515"/>
        </w:trPr>
        <w:tc>
          <w:tcPr>
            <w:tcW w:w="816" w:type="dxa"/>
          </w:tcPr>
          <w:p w14:paraId="4B09E77B" w14:textId="77777777" w:rsidR="00540EA0" w:rsidRDefault="001761A1">
            <w:pPr>
              <w:pStyle w:val="TableParagraph"/>
              <w:spacing w:before="11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04" w:type="dxa"/>
          </w:tcPr>
          <w:p w14:paraId="56023AA4" w14:textId="77777777" w:rsidR="00540EA0" w:rsidRDefault="00540EA0">
            <w:pPr>
              <w:pStyle w:val="TableParagraph"/>
            </w:pPr>
          </w:p>
        </w:tc>
        <w:tc>
          <w:tcPr>
            <w:tcW w:w="4058" w:type="dxa"/>
          </w:tcPr>
          <w:p w14:paraId="2E908111" w14:textId="77777777" w:rsidR="00540EA0" w:rsidRDefault="00540EA0">
            <w:pPr>
              <w:pStyle w:val="TableParagraph"/>
            </w:pPr>
          </w:p>
        </w:tc>
        <w:tc>
          <w:tcPr>
            <w:tcW w:w="2349" w:type="dxa"/>
          </w:tcPr>
          <w:p w14:paraId="78B43AB2" w14:textId="77777777" w:rsidR="00540EA0" w:rsidRDefault="00540EA0">
            <w:pPr>
              <w:pStyle w:val="TableParagraph"/>
            </w:pPr>
          </w:p>
        </w:tc>
      </w:tr>
    </w:tbl>
    <w:p w14:paraId="744B3539" w14:textId="77777777" w:rsidR="00540EA0" w:rsidRDefault="00540EA0">
      <w:pPr>
        <w:pStyle w:val="Corpotesto"/>
        <w:spacing w:before="10"/>
        <w:ind w:left="0"/>
        <w:jc w:val="left"/>
        <w:rPr>
          <w:sz w:val="23"/>
        </w:rPr>
      </w:pPr>
    </w:p>
    <w:p w14:paraId="0445C40C" w14:textId="77777777" w:rsidR="00540EA0" w:rsidRDefault="001761A1">
      <w:pPr>
        <w:pStyle w:val="Corpotesto"/>
        <w:jc w:val="left"/>
      </w:pPr>
      <w:r>
        <w:t>Il presente decreto sarà pubblicato sul Sito Istituzionale del Comune.</w:t>
      </w:r>
    </w:p>
    <w:p w14:paraId="037EA90D" w14:textId="77777777" w:rsidR="00540EA0" w:rsidRDefault="00540EA0">
      <w:pPr>
        <w:pStyle w:val="Corpotesto"/>
        <w:spacing w:before="2"/>
        <w:ind w:left="0"/>
        <w:jc w:val="left"/>
        <w:rPr>
          <w:sz w:val="16"/>
        </w:rPr>
      </w:pPr>
    </w:p>
    <w:p w14:paraId="2D27FD0A" w14:textId="77777777" w:rsidR="00540EA0" w:rsidRDefault="001761A1">
      <w:pPr>
        <w:pStyle w:val="Corpotesto"/>
        <w:tabs>
          <w:tab w:val="left" w:pos="2521"/>
        </w:tabs>
        <w:spacing w:before="90"/>
        <w:jc w:val="left"/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232DA4" w14:textId="77777777" w:rsidR="00540EA0" w:rsidRDefault="001761A1">
      <w:pPr>
        <w:pStyle w:val="Corpotesto"/>
        <w:spacing w:before="42"/>
        <w:ind w:left="7486"/>
        <w:jc w:val="left"/>
      </w:pPr>
      <w:r>
        <w:t>Il Sindaco</w:t>
      </w:r>
    </w:p>
    <w:sectPr w:rsidR="00540EA0">
      <w:headerReference w:type="default" r:id="rId17"/>
      <w:type w:val="continuous"/>
      <w:pgSz w:w="11910" w:h="16840"/>
      <w:pgMar w:top="620" w:right="9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C2B2E" w14:textId="77777777" w:rsidR="001761A1" w:rsidRDefault="001761A1" w:rsidP="00C22583">
      <w:r>
        <w:separator/>
      </w:r>
    </w:p>
  </w:endnote>
  <w:endnote w:type="continuationSeparator" w:id="0">
    <w:p w14:paraId="0F9F99B3" w14:textId="77777777" w:rsidR="001761A1" w:rsidRDefault="001761A1" w:rsidP="00C2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D4CB1" w14:textId="77777777" w:rsidR="001761A1" w:rsidRDefault="001761A1" w:rsidP="00C22583">
      <w:r>
        <w:separator/>
      </w:r>
    </w:p>
  </w:footnote>
  <w:footnote w:type="continuationSeparator" w:id="0">
    <w:p w14:paraId="737ED55F" w14:textId="77777777" w:rsidR="001761A1" w:rsidRDefault="001761A1" w:rsidP="00C22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DE29A" w14:textId="590D02E6" w:rsidR="00C22583" w:rsidRDefault="00C22583" w:rsidP="00C22583">
    <w:pPr>
      <w:pStyle w:val="Intestazione"/>
      <w:jc w:val="center"/>
    </w:pPr>
    <w:r w:rsidRPr="006C3FC8">
      <w:rPr>
        <w:noProof/>
      </w:rPr>
      <w:drawing>
        <wp:inline distT="0" distB="0" distL="0" distR="0" wp14:anchorId="2ADE097F" wp14:editId="231F0602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992FA0" w14:textId="77777777" w:rsidR="00C22583" w:rsidRDefault="00C225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4E670E"/>
    <w:multiLevelType w:val="hybridMultilevel"/>
    <w:tmpl w:val="A65EECBC"/>
    <w:lvl w:ilvl="0" w:tplc="ABFC7818">
      <w:numFmt w:val="bullet"/>
      <w:lvlText w:val="-"/>
      <w:lvlJc w:val="left"/>
      <w:pPr>
        <w:ind w:left="212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C6EE3F06">
      <w:numFmt w:val="bullet"/>
      <w:lvlText w:val="•"/>
      <w:lvlJc w:val="left"/>
      <w:pPr>
        <w:ind w:left="1202" w:hanging="200"/>
      </w:pPr>
      <w:rPr>
        <w:rFonts w:hint="default"/>
        <w:lang w:val="it-IT" w:eastAsia="it-IT" w:bidi="it-IT"/>
      </w:rPr>
    </w:lvl>
    <w:lvl w:ilvl="2" w:tplc="4D0ACE44">
      <w:numFmt w:val="bullet"/>
      <w:lvlText w:val="•"/>
      <w:lvlJc w:val="left"/>
      <w:pPr>
        <w:ind w:left="2185" w:hanging="200"/>
      </w:pPr>
      <w:rPr>
        <w:rFonts w:hint="default"/>
        <w:lang w:val="it-IT" w:eastAsia="it-IT" w:bidi="it-IT"/>
      </w:rPr>
    </w:lvl>
    <w:lvl w:ilvl="3" w:tplc="8576780A">
      <w:numFmt w:val="bullet"/>
      <w:lvlText w:val="•"/>
      <w:lvlJc w:val="left"/>
      <w:pPr>
        <w:ind w:left="3167" w:hanging="200"/>
      </w:pPr>
      <w:rPr>
        <w:rFonts w:hint="default"/>
        <w:lang w:val="it-IT" w:eastAsia="it-IT" w:bidi="it-IT"/>
      </w:rPr>
    </w:lvl>
    <w:lvl w:ilvl="4" w:tplc="9A121FEE">
      <w:numFmt w:val="bullet"/>
      <w:lvlText w:val="•"/>
      <w:lvlJc w:val="left"/>
      <w:pPr>
        <w:ind w:left="4150" w:hanging="200"/>
      </w:pPr>
      <w:rPr>
        <w:rFonts w:hint="default"/>
        <w:lang w:val="it-IT" w:eastAsia="it-IT" w:bidi="it-IT"/>
      </w:rPr>
    </w:lvl>
    <w:lvl w:ilvl="5" w:tplc="5B7ADA54">
      <w:numFmt w:val="bullet"/>
      <w:lvlText w:val="•"/>
      <w:lvlJc w:val="left"/>
      <w:pPr>
        <w:ind w:left="5133" w:hanging="200"/>
      </w:pPr>
      <w:rPr>
        <w:rFonts w:hint="default"/>
        <w:lang w:val="it-IT" w:eastAsia="it-IT" w:bidi="it-IT"/>
      </w:rPr>
    </w:lvl>
    <w:lvl w:ilvl="6" w:tplc="4FE2E10A">
      <w:numFmt w:val="bullet"/>
      <w:lvlText w:val="•"/>
      <w:lvlJc w:val="left"/>
      <w:pPr>
        <w:ind w:left="6115" w:hanging="200"/>
      </w:pPr>
      <w:rPr>
        <w:rFonts w:hint="default"/>
        <w:lang w:val="it-IT" w:eastAsia="it-IT" w:bidi="it-IT"/>
      </w:rPr>
    </w:lvl>
    <w:lvl w:ilvl="7" w:tplc="C7602498">
      <w:numFmt w:val="bullet"/>
      <w:lvlText w:val="•"/>
      <w:lvlJc w:val="left"/>
      <w:pPr>
        <w:ind w:left="7098" w:hanging="200"/>
      </w:pPr>
      <w:rPr>
        <w:rFonts w:hint="default"/>
        <w:lang w:val="it-IT" w:eastAsia="it-IT" w:bidi="it-IT"/>
      </w:rPr>
    </w:lvl>
    <w:lvl w:ilvl="8" w:tplc="2C4A8644">
      <w:numFmt w:val="bullet"/>
      <w:lvlText w:val="•"/>
      <w:lvlJc w:val="left"/>
      <w:pPr>
        <w:ind w:left="8081" w:hanging="20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A0"/>
    <w:rsid w:val="001761A1"/>
    <w:rsid w:val="00540EA0"/>
    <w:rsid w:val="00C2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1546"/>
  <w15:docId w15:val="{A1AA55BB-7360-4B8E-85B1-5275D6A0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225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2583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22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258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C2258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2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legislativo:2016-08-19;175~art11!vig" TargetMode="External"/><Relationship Id="rId13" Type="http://schemas.openxmlformats.org/officeDocument/2006/relationships/hyperlink" Target="http://www.normattiva.it/uri-res/N2Ls?urn:nir:stato:legge:2011-07-12;120!vi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.legislativo:2016-08-19;175~art11!vig" TargetMode="External"/><Relationship Id="rId12" Type="http://schemas.openxmlformats.org/officeDocument/2006/relationships/hyperlink" Target="http://www.normattiva.it/uri-res/N2Ls?urn:nir:stato:decreto.legislativo:2013-03-14;33!vi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normattiva.it/uri-res/N2Ls?urn:nir:stato:decreto.legislativo:2000-08-18;267~art50!vi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.legislativo:2012-12-31;235art10!vi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ormattiva.it/uri-res/N2Ls?urn:nir:stato:decreto.legislativo:2000-08-18;267~art50!vig" TargetMode="External"/><Relationship Id="rId10" Type="http://schemas.openxmlformats.org/officeDocument/2006/relationships/hyperlink" Target="http://www.normattiva.it/uri-res/N2Ls?urn:nir:stato:legge:2012-11-06;190art1!vi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.legislativo:2013-04-08;39!vig" TargetMode="External"/><Relationship Id="rId14" Type="http://schemas.openxmlformats.org/officeDocument/2006/relationships/hyperlink" Target="http://www.normattiva.it/uri-res/N2Ls?urn:nir:stato:decreto.legislativo:1998-02-24;58!vi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utente</cp:lastModifiedBy>
  <cp:revision>2</cp:revision>
  <dcterms:created xsi:type="dcterms:W3CDTF">2020-09-15T07:40:00Z</dcterms:created>
  <dcterms:modified xsi:type="dcterms:W3CDTF">2020-09-15T07:40:00Z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2020-09-15T00:00:00Z</vt:filetime>
  </property>
</Properties>
</file>