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90" w:rsidRPr="00C21E90" w:rsidRDefault="00C21E90" w:rsidP="00C21E90">
      <w:pPr>
        <w:shd w:val="clear" w:color="auto" w:fill="F8F8F8"/>
        <w:spacing w:after="100" w:afterAutospacing="1" w:line="240" w:lineRule="auto"/>
        <w:jc w:val="center"/>
        <w:rPr>
          <w:rFonts w:ascii="open_sansregular" w:eastAsia="Times New Roman" w:hAnsi="open_sansregular" w:cs="Times New Roman"/>
          <w:color w:val="555555"/>
          <w:sz w:val="21"/>
          <w:szCs w:val="21"/>
          <w:lang w:eastAsia="it-IT"/>
        </w:rPr>
      </w:pPr>
      <w:r w:rsidRPr="00C21E90">
        <w:rPr>
          <w:rFonts w:ascii="open_sans_condensedbold" w:eastAsia="Times New Roman" w:hAnsi="open_sans_condensedbold" w:cs="Times New Roman"/>
          <w:color w:val="555555"/>
          <w:sz w:val="26"/>
          <w:szCs w:val="26"/>
          <w:lang w:eastAsia="it-IT"/>
        </w:rPr>
        <w:t xml:space="preserve">Ministero delle Infrastrutture e dei Trasporti </w:t>
      </w:r>
    </w:p>
    <w:p w:rsidR="00C21E90" w:rsidRPr="00C21E90" w:rsidRDefault="00C21E90" w:rsidP="00C21E90">
      <w:pPr>
        <w:shd w:val="clear" w:color="auto" w:fill="F8F8F8"/>
        <w:spacing w:after="100" w:afterAutospacing="1" w:line="240" w:lineRule="auto"/>
        <w:jc w:val="center"/>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 xml:space="preserve">DIPARTIMENTO PER I TRASPORTI, LA NAVIGAZIONE, </w:t>
      </w:r>
      <w:r w:rsidRPr="00C21E90">
        <w:rPr>
          <w:rFonts w:ascii="open_sansregular" w:eastAsia="Times New Roman" w:hAnsi="open_sansregular" w:cs="Times New Roman"/>
          <w:color w:val="555555"/>
          <w:sz w:val="21"/>
          <w:szCs w:val="21"/>
          <w:lang w:eastAsia="it-IT"/>
        </w:rPr>
        <w:br/>
        <w:t xml:space="preserve">GLI AFFARI GENERALI ED IL PERSONALE </w:t>
      </w:r>
      <w:r w:rsidRPr="00C21E90">
        <w:rPr>
          <w:rFonts w:ascii="open_sansregular" w:eastAsia="Times New Roman" w:hAnsi="open_sansregular" w:cs="Times New Roman"/>
          <w:color w:val="555555"/>
          <w:sz w:val="21"/>
          <w:szCs w:val="21"/>
          <w:lang w:eastAsia="it-IT"/>
        </w:rPr>
        <w:br/>
        <w:t xml:space="preserve">DIREZIONE GENERALE PER LA MOTORIZZAZIONE </w:t>
      </w:r>
      <w:r w:rsidRPr="00C21E90">
        <w:rPr>
          <w:rFonts w:ascii="open_sansregular" w:eastAsia="Times New Roman" w:hAnsi="open_sansregular" w:cs="Times New Roman"/>
          <w:color w:val="555555"/>
          <w:sz w:val="21"/>
          <w:szCs w:val="21"/>
          <w:lang w:eastAsia="it-IT"/>
        </w:rPr>
        <w:br/>
        <w:t>DIVISIONE 5</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proofErr w:type="spellStart"/>
      <w:r w:rsidRPr="00C21E90">
        <w:rPr>
          <w:rFonts w:ascii="open_sansregular" w:eastAsia="Times New Roman" w:hAnsi="open_sansregular" w:cs="Times New Roman"/>
          <w:color w:val="555555"/>
          <w:sz w:val="21"/>
          <w:szCs w:val="21"/>
          <w:lang w:eastAsia="it-IT"/>
        </w:rPr>
        <w:t>Prot</w:t>
      </w:r>
      <w:proofErr w:type="spellEnd"/>
      <w:r w:rsidRPr="00C21E90">
        <w:rPr>
          <w:rFonts w:ascii="open_sansregular" w:eastAsia="Times New Roman" w:hAnsi="open_sansregular" w:cs="Times New Roman"/>
          <w:color w:val="555555"/>
          <w:sz w:val="21"/>
          <w:szCs w:val="21"/>
          <w:lang w:eastAsia="it-IT"/>
        </w:rPr>
        <w:t>. 33471</w:t>
      </w:r>
    </w:p>
    <w:p w:rsidR="00C21E90" w:rsidRPr="00C21E90" w:rsidRDefault="00C21E90" w:rsidP="00C21E90">
      <w:pPr>
        <w:shd w:val="clear" w:color="auto" w:fill="F8F8F8"/>
        <w:spacing w:after="100" w:afterAutospacing="1" w:line="240" w:lineRule="auto"/>
        <w:jc w:val="right"/>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Roma, 29 ottobre 2019</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_condensedbold" w:eastAsia="Times New Roman" w:hAnsi="open_sans_condensedbold" w:cs="Times New Roman"/>
          <w:color w:val="555555"/>
          <w:sz w:val="26"/>
          <w:szCs w:val="26"/>
          <w:lang w:eastAsia="it-IT"/>
        </w:rPr>
        <w:t>Oggetto</w:t>
      </w:r>
      <w:r w:rsidRPr="00C21E90">
        <w:rPr>
          <w:rFonts w:ascii="open_sansregular" w:eastAsia="Times New Roman" w:hAnsi="open_sansregular" w:cs="Times New Roman"/>
          <w:color w:val="555555"/>
          <w:sz w:val="21"/>
          <w:szCs w:val="21"/>
          <w:lang w:eastAsia="it-IT"/>
        </w:rPr>
        <w:t>: Scadenza di validità della patente di guida.</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 xml:space="preserve">L'art. 7 del </w:t>
      </w:r>
      <w:hyperlink r:id="rId4" w:history="1">
        <w:r w:rsidRPr="00C21E90">
          <w:rPr>
            <w:rFonts w:ascii="open_sansregular" w:eastAsia="Times New Roman" w:hAnsi="open_sansregular" w:cs="Times New Roman"/>
            <w:color w:val="004069"/>
            <w:sz w:val="21"/>
            <w:szCs w:val="21"/>
            <w:u w:val="single"/>
            <w:lang w:eastAsia="it-IT"/>
          </w:rPr>
          <w:t xml:space="preserve">decreto legge 9 febbraio 2012, n. 5 </w:t>
        </w:r>
      </w:hyperlink>
      <w:r w:rsidRPr="00C21E90">
        <w:rPr>
          <w:rFonts w:ascii="open_sansregular" w:eastAsia="Times New Roman" w:hAnsi="open_sansregular" w:cs="Times New Roman"/>
          <w:color w:val="555555"/>
          <w:sz w:val="21"/>
          <w:szCs w:val="21"/>
          <w:lang w:eastAsia="it-IT"/>
        </w:rPr>
        <w:t>prevede espressamente che la patente di guida, assieme ad altri documenti di identità e di riconoscimento di cui all'art. 1, comma 1, lettera c), d) ed e)</w:t>
      </w:r>
      <w:hyperlink r:id="rId5" w:history="1">
        <w:r w:rsidRPr="00C21E90">
          <w:rPr>
            <w:rFonts w:ascii="open_sansregular" w:eastAsia="Times New Roman" w:hAnsi="open_sansregular" w:cs="Times New Roman"/>
            <w:color w:val="004069"/>
            <w:sz w:val="21"/>
            <w:szCs w:val="21"/>
            <w:u w:val="single"/>
            <w:lang w:eastAsia="it-IT"/>
          </w:rPr>
          <w:t xml:space="preserve"> del decreto del Presidente della Repubblica 28.12.2000, n 445</w:t>
        </w:r>
      </w:hyperlink>
      <w:r w:rsidRPr="00C21E90">
        <w:rPr>
          <w:rFonts w:ascii="open_sansregular" w:eastAsia="Times New Roman" w:hAnsi="open_sansregular" w:cs="Times New Roman"/>
          <w:color w:val="555555"/>
          <w:sz w:val="21"/>
          <w:szCs w:val="21"/>
          <w:lang w:eastAsia="it-IT"/>
        </w:rPr>
        <w:t xml:space="preserve">, è rilasciata o rinnovata </w:t>
      </w:r>
      <w:r w:rsidRPr="00C21E90">
        <w:rPr>
          <w:rFonts w:ascii="open_sansregular" w:eastAsia="Times New Roman" w:hAnsi="open_sansregular" w:cs="Times New Roman"/>
          <w:i/>
          <w:iCs/>
          <w:color w:val="555555"/>
          <w:sz w:val="21"/>
          <w:lang w:eastAsia="it-IT"/>
        </w:rPr>
        <w:t>"con validità fino al giorno e mese di nascita del titolare, immediatamente successivi alla scadenza che sarebbe altrimenti prevista per il documento medesimo</w:t>
      </w:r>
      <w:r w:rsidRPr="00C21E90">
        <w:rPr>
          <w:rFonts w:ascii="open_sansregular" w:eastAsia="Times New Roman" w:hAnsi="open_sansregular" w:cs="Times New Roman"/>
          <w:color w:val="555555"/>
          <w:sz w:val="21"/>
          <w:szCs w:val="21"/>
          <w:lang w:eastAsia="it-IT"/>
        </w:rPr>
        <w:t>”.</w:t>
      </w:r>
      <w:r w:rsidRPr="00C21E90">
        <w:rPr>
          <w:rFonts w:ascii="open_sansregular" w:eastAsia="Times New Roman" w:hAnsi="open_sansregular" w:cs="Times New Roman"/>
          <w:color w:val="555555"/>
          <w:sz w:val="21"/>
          <w:szCs w:val="21"/>
          <w:lang w:eastAsia="it-IT"/>
        </w:rPr>
        <w:br/>
        <w:t xml:space="preserve">Con </w:t>
      </w:r>
      <w:hyperlink r:id="rId6" w:history="1">
        <w:r w:rsidRPr="00C21E90">
          <w:rPr>
            <w:rFonts w:ascii="open_sansregular" w:eastAsia="Times New Roman" w:hAnsi="open_sansregular" w:cs="Times New Roman"/>
            <w:color w:val="004069"/>
            <w:sz w:val="21"/>
            <w:szCs w:val="21"/>
            <w:u w:val="single"/>
            <w:lang w:eastAsia="it-IT"/>
          </w:rPr>
          <w:t>circolare n. 7 del 20 luglio 2012</w:t>
        </w:r>
      </w:hyperlink>
      <w:r w:rsidRPr="00C21E90">
        <w:rPr>
          <w:rFonts w:ascii="open_sansregular" w:eastAsia="Times New Roman" w:hAnsi="open_sansregular" w:cs="Times New Roman"/>
          <w:color w:val="555555"/>
          <w:sz w:val="21"/>
          <w:szCs w:val="21"/>
          <w:lang w:eastAsia="it-IT"/>
        </w:rPr>
        <w:t xml:space="preserve">, il Ministro per la pubblica amministrazione ha chiarito che il citato art. 7, </w:t>
      </w:r>
      <w:hyperlink r:id="rId7" w:history="1">
        <w:r w:rsidRPr="00C21E90">
          <w:rPr>
            <w:rFonts w:ascii="open_sansregular" w:eastAsia="Times New Roman" w:hAnsi="open_sansregular" w:cs="Times New Roman"/>
            <w:color w:val="004069"/>
            <w:sz w:val="21"/>
            <w:szCs w:val="21"/>
            <w:u w:val="single"/>
            <w:lang w:eastAsia="it-IT"/>
          </w:rPr>
          <w:t>d.l. 5/2012</w:t>
        </w:r>
      </w:hyperlink>
      <w:r w:rsidRPr="00C21E90">
        <w:rPr>
          <w:rFonts w:ascii="open_sansregular" w:eastAsia="Times New Roman" w:hAnsi="open_sansregular" w:cs="Times New Roman"/>
          <w:color w:val="555555"/>
          <w:sz w:val="21"/>
          <w:szCs w:val="21"/>
          <w:lang w:eastAsia="it-IT"/>
        </w:rPr>
        <w:t>, non deroga all'arco temporale di naturale scadenza del documento di riconoscimento o di identità (e dei documenti a questi equiparati) se non in occasione del primo rilascio o rinnovo, in relazione al quale, all'ordinario termine di scadenza, si aggiungono i giorni che residuano alla data di compleanno del titolare del documento.</w:t>
      </w:r>
      <w:r w:rsidRPr="00C21E90">
        <w:rPr>
          <w:rFonts w:ascii="open_sansregular" w:eastAsia="Times New Roman" w:hAnsi="open_sansregular" w:cs="Times New Roman"/>
          <w:color w:val="555555"/>
          <w:sz w:val="21"/>
          <w:szCs w:val="21"/>
          <w:lang w:eastAsia="it-IT"/>
        </w:rPr>
        <w:br/>
        <w:t>Ove poi il titolare del documento di identità ne chieda il rinnovo (ulteriore al primo) dopo la data di scadenza coincidente con il giorno del compleanno, la nuova scadenza coinciderà sempre con la data del compleanno, ma sottraendo al periodo naturale di scadenza i giorni che sono stati fatti inutilmente trascorrere prima di richiedere il rinnovo.</w:t>
      </w:r>
      <w:r w:rsidRPr="00C21E90">
        <w:rPr>
          <w:rFonts w:ascii="open_sansregular" w:eastAsia="Times New Roman" w:hAnsi="open_sansregular" w:cs="Times New Roman"/>
          <w:color w:val="555555"/>
          <w:sz w:val="21"/>
          <w:szCs w:val="21"/>
          <w:lang w:eastAsia="it-IT"/>
        </w:rPr>
        <w:br/>
        <w:t xml:space="preserve">Tanto premesso, si è posta la necessità di definire specifici criteri per calcolare, secondo le norme vigenti, la nuova data di scadenza di validità della patente nel caso in cui il suo titolare proceda al rinnovo di validità successivamente alla scadenza di detto documento. La questione ha particolare rilevanza nel caso in cui debba </w:t>
      </w:r>
      <w:proofErr w:type="spellStart"/>
      <w:r w:rsidRPr="00C21E90">
        <w:rPr>
          <w:rFonts w:ascii="open_sansregular" w:eastAsia="Times New Roman" w:hAnsi="open_sansregular" w:cs="Times New Roman"/>
          <w:color w:val="555555"/>
          <w:sz w:val="21"/>
          <w:szCs w:val="21"/>
          <w:lang w:eastAsia="it-IT"/>
        </w:rPr>
        <w:t>procedersi</w:t>
      </w:r>
      <w:proofErr w:type="spellEnd"/>
      <w:r w:rsidRPr="00C21E90">
        <w:rPr>
          <w:rFonts w:ascii="open_sansregular" w:eastAsia="Times New Roman" w:hAnsi="open_sansregular" w:cs="Times New Roman"/>
          <w:color w:val="555555"/>
          <w:sz w:val="21"/>
          <w:szCs w:val="21"/>
          <w:lang w:eastAsia="it-IT"/>
        </w:rPr>
        <w:t xml:space="preserve"> al rinnovo di validità di patenti intestate a conducenti ultrasettantenni o ultraottantenni che, come è noto, possono essere rinnovate per un periodo massimo, rispettivamente, a tre o due anni.</w:t>
      </w:r>
      <w:r w:rsidRPr="00C21E90">
        <w:rPr>
          <w:rFonts w:ascii="open_sansregular" w:eastAsia="Times New Roman" w:hAnsi="open_sansregular" w:cs="Times New Roman"/>
          <w:color w:val="555555"/>
          <w:sz w:val="21"/>
          <w:szCs w:val="21"/>
          <w:lang w:eastAsia="it-IT"/>
        </w:rPr>
        <w:br/>
        <w:t>Di conseguenza, resta fermo che, nel caso di patente già scaduta di validità, la nuova data di scadenza decorre dalla data della visita medica e fino alla data del compleanno antecedente al periodo previsto dall</w:t>
      </w:r>
      <w:hyperlink r:id="rId8" w:history="1">
        <w:r w:rsidRPr="00C21E90">
          <w:rPr>
            <w:rFonts w:ascii="open_sansregular" w:eastAsia="Times New Roman" w:hAnsi="open_sansregular" w:cs="Times New Roman"/>
            <w:color w:val="004069"/>
            <w:sz w:val="21"/>
            <w:szCs w:val="21"/>
            <w:u w:val="single"/>
            <w:lang w:eastAsia="it-IT"/>
          </w:rPr>
          <w:t>'art. 126 del codice della strada</w:t>
        </w:r>
      </w:hyperlink>
      <w:r w:rsidRPr="00C21E90">
        <w:rPr>
          <w:rFonts w:ascii="open_sansregular" w:eastAsia="Times New Roman" w:hAnsi="open_sansregular" w:cs="Times New Roman"/>
          <w:color w:val="555555"/>
          <w:sz w:val="21"/>
          <w:szCs w:val="21"/>
          <w:lang w:eastAsia="it-IT"/>
        </w:rPr>
        <w:t>.</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br/>
        <w:t>Per chiarire, si riporta le seguente tabella esemplificativa:</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 </w:t>
      </w:r>
    </w:p>
    <w:tbl>
      <w:tblPr>
        <w:tblW w:w="0" w:type="dxa"/>
        <w:tblCellSpacing w:w="0" w:type="dxa"/>
        <w:tblBorders>
          <w:top w:val="single" w:sz="8" w:space="0" w:color="507998"/>
          <w:left w:val="single" w:sz="8" w:space="0" w:color="507998"/>
          <w:bottom w:val="single" w:sz="8" w:space="0" w:color="507998"/>
          <w:right w:val="single" w:sz="8" w:space="0" w:color="507998"/>
        </w:tblBorders>
        <w:tblCellMar>
          <w:left w:w="0" w:type="dxa"/>
          <w:right w:w="0" w:type="dxa"/>
        </w:tblCellMar>
        <w:tblLook w:val="04A0"/>
      </w:tblPr>
      <w:tblGrid>
        <w:gridCol w:w="1184"/>
        <w:gridCol w:w="1418"/>
        <w:gridCol w:w="1187"/>
        <w:gridCol w:w="1648"/>
        <w:gridCol w:w="1559"/>
        <w:gridCol w:w="2736"/>
      </w:tblGrid>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ETÀ TITOLARE PATENTE</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CATEGORIA PATENTE</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SCADENZA PATENTE</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COMPLEANNO</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DATA VISITA MEDICA PER RINNOVO</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NUOVA SCADENZA</w:t>
            </w:r>
          </w:p>
        </w:tc>
      </w:tr>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29</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B</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7.11.2017</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7.11.1989</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5.12.2019</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7.11.2029</w:t>
            </w:r>
          </w:p>
        </w:tc>
      </w:tr>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29</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B</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7.11.2018</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7.11.1989</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7.11.2019</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7.11.2029</w:t>
            </w:r>
          </w:p>
        </w:tc>
      </w:tr>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51</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B</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7.11.2018</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7.11.1967</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5.12.2019</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7.11.2024</w:t>
            </w:r>
          </w:p>
        </w:tc>
      </w:tr>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72</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B</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22.8.2019</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22.8.1947</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5.12.2019</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22.8.2022</w:t>
            </w:r>
          </w:p>
        </w:tc>
      </w:tr>
      <w:tr w:rsidR="00C21E90" w:rsidRPr="00C21E90" w:rsidTr="00C21E90">
        <w:trPr>
          <w:tblCellSpacing w:w="0" w:type="dxa"/>
        </w:trPr>
        <w:tc>
          <w:tcPr>
            <w:tcW w:w="1184"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82</w:t>
            </w:r>
          </w:p>
        </w:tc>
        <w:tc>
          <w:tcPr>
            <w:tcW w:w="141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B</w:t>
            </w:r>
          </w:p>
        </w:tc>
        <w:tc>
          <w:tcPr>
            <w:tcW w:w="1187"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6.2.2019</w:t>
            </w:r>
          </w:p>
        </w:tc>
        <w:tc>
          <w:tcPr>
            <w:tcW w:w="1648"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6.2.1937</w:t>
            </w:r>
          </w:p>
        </w:tc>
        <w:tc>
          <w:tcPr>
            <w:tcW w:w="1559"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5.12.2019</w:t>
            </w:r>
          </w:p>
        </w:tc>
        <w:tc>
          <w:tcPr>
            <w:tcW w:w="2736" w:type="dxa"/>
            <w:tcBorders>
              <w:top w:val="single" w:sz="8" w:space="0" w:color="507998"/>
              <w:left w:val="single" w:sz="8" w:space="0" w:color="507998"/>
              <w:bottom w:val="single" w:sz="8" w:space="0" w:color="507998"/>
              <w:right w:val="single" w:sz="8" w:space="0" w:color="507998"/>
            </w:tcBorders>
            <w:tcMar>
              <w:top w:w="30" w:type="dxa"/>
              <w:left w:w="30" w:type="dxa"/>
              <w:bottom w:w="30" w:type="dxa"/>
              <w:right w:w="30" w:type="dxa"/>
            </w:tcMar>
            <w:vAlign w:val="center"/>
            <w:hideMark/>
          </w:tcPr>
          <w:p w:rsidR="00C21E90" w:rsidRPr="00C21E90" w:rsidRDefault="00C21E90" w:rsidP="00C21E90">
            <w:pPr>
              <w:spacing w:before="100" w:beforeAutospacing="1" w:after="100" w:afterAutospacing="1" w:line="240" w:lineRule="auto"/>
              <w:jc w:val="center"/>
              <w:rPr>
                <w:rFonts w:ascii="Times New Roman" w:eastAsia="Times New Roman" w:hAnsi="Times New Roman" w:cs="Times New Roman"/>
                <w:color w:val="555555"/>
                <w:sz w:val="24"/>
                <w:szCs w:val="24"/>
                <w:lang w:eastAsia="it-IT"/>
              </w:rPr>
            </w:pPr>
            <w:r w:rsidRPr="00C21E90">
              <w:rPr>
                <w:rFonts w:ascii="Verdana" w:eastAsia="Times New Roman" w:hAnsi="Verdana" w:cs="Times New Roman"/>
                <w:color w:val="555555"/>
                <w:sz w:val="18"/>
                <w:szCs w:val="18"/>
                <w:lang w:eastAsia="it-IT"/>
              </w:rPr>
              <w:t>6.2.2021</w:t>
            </w:r>
          </w:p>
        </w:tc>
      </w:tr>
    </w:tbl>
    <w:p w:rsidR="00C21E90" w:rsidRPr="00C21E90" w:rsidRDefault="00C21E90" w:rsidP="00C21E90">
      <w:pPr>
        <w:shd w:val="clear" w:color="auto" w:fill="F8F8F8"/>
        <w:spacing w:after="100" w:afterAutospacing="1" w:line="240" w:lineRule="auto"/>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 </w: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t>Si ricorda, infine, che l'allineamento della validità della patente di guida alla data del compleanno del titolare è prevista in occasione solo del conseguimento o del primo rinnovo di una patente di guida di categoria AM, A1, A2, A, B1, B e BE che fanno “</w:t>
      </w:r>
      <w:r w:rsidRPr="00C21E90">
        <w:rPr>
          <w:rFonts w:ascii="open_sansregular" w:eastAsia="Times New Roman" w:hAnsi="open_sansregular" w:cs="Times New Roman"/>
          <w:i/>
          <w:iCs/>
          <w:color w:val="555555"/>
          <w:sz w:val="21"/>
          <w:lang w:eastAsia="it-IT"/>
        </w:rPr>
        <w:t>scadenza ordinaria</w:t>
      </w:r>
      <w:r w:rsidRPr="00C21E90">
        <w:rPr>
          <w:rFonts w:ascii="open_sansregular" w:eastAsia="Times New Roman" w:hAnsi="open_sansregular" w:cs="Times New Roman"/>
          <w:color w:val="555555"/>
          <w:sz w:val="21"/>
          <w:szCs w:val="21"/>
          <w:lang w:eastAsia="it-IT"/>
        </w:rPr>
        <w:t>”.</w:t>
      </w:r>
      <w:r w:rsidRPr="00C21E90">
        <w:rPr>
          <w:rFonts w:ascii="open_sansregular" w:eastAsia="Times New Roman" w:hAnsi="open_sansregular" w:cs="Times New Roman"/>
          <w:color w:val="555555"/>
          <w:sz w:val="21"/>
          <w:szCs w:val="21"/>
          <w:lang w:eastAsia="it-IT"/>
        </w:rPr>
        <w:br/>
      </w:r>
      <w:r w:rsidRPr="00C21E90">
        <w:rPr>
          <w:rFonts w:ascii="open_sansregular" w:eastAsia="Times New Roman" w:hAnsi="open_sansregular" w:cs="Times New Roman"/>
          <w:color w:val="555555"/>
          <w:sz w:val="21"/>
          <w:szCs w:val="21"/>
          <w:lang w:eastAsia="it-IT"/>
        </w:rPr>
        <w:br/>
        <w:t xml:space="preserve">Restano invece escluse dall'ambito di applicazione della citata norma le patenti di categoria C1, C1E, C, CE, D1, </w:t>
      </w:r>
      <w:r w:rsidRPr="00C21E90">
        <w:rPr>
          <w:rFonts w:ascii="open_sansregular" w:eastAsia="Times New Roman" w:hAnsi="open_sansregular" w:cs="Times New Roman"/>
          <w:color w:val="555555"/>
          <w:sz w:val="21"/>
          <w:szCs w:val="21"/>
          <w:lang w:eastAsia="it-IT"/>
        </w:rPr>
        <w:lastRenderedPageBreak/>
        <w:t xml:space="preserve">D1E, D e DE, le CQC e le patenti per le quali, ancorché ricomprese nelle categorie da AM a BE, l'accertamento dei requisiti dell'idoneità psicofisica alla guida sia, a qualunque titolo, demandato alla competenza di una commissione medica locale nonché, infine, quelle per le quali, per lo stesso accertamento, debba </w:t>
      </w:r>
      <w:proofErr w:type="spellStart"/>
      <w:r w:rsidRPr="00C21E90">
        <w:rPr>
          <w:rFonts w:ascii="open_sansregular" w:eastAsia="Times New Roman" w:hAnsi="open_sansregular" w:cs="Times New Roman"/>
          <w:color w:val="555555"/>
          <w:sz w:val="21"/>
          <w:szCs w:val="21"/>
          <w:lang w:eastAsia="it-IT"/>
        </w:rPr>
        <w:t>procedersi</w:t>
      </w:r>
      <w:proofErr w:type="spellEnd"/>
      <w:r w:rsidRPr="00C21E90">
        <w:rPr>
          <w:rFonts w:ascii="open_sansregular" w:eastAsia="Times New Roman" w:hAnsi="open_sansregular" w:cs="Times New Roman"/>
          <w:color w:val="555555"/>
          <w:sz w:val="21"/>
          <w:szCs w:val="21"/>
          <w:lang w:eastAsia="it-IT"/>
        </w:rPr>
        <w:t xml:space="preserve"> ai sensi dell'</w:t>
      </w:r>
      <w:hyperlink r:id="rId9" w:history="1">
        <w:r w:rsidRPr="00C21E90">
          <w:rPr>
            <w:rFonts w:ascii="open_sansregular" w:eastAsia="Times New Roman" w:hAnsi="open_sansregular" w:cs="Times New Roman"/>
            <w:color w:val="004069"/>
            <w:sz w:val="21"/>
            <w:szCs w:val="21"/>
            <w:u w:val="single"/>
            <w:lang w:eastAsia="it-IT"/>
          </w:rPr>
          <w:t>articolo 119</w:t>
        </w:r>
      </w:hyperlink>
      <w:r w:rsidRPr="00C21E90">
        <w:rPr>
          <w:rFonts w:ascii="open_sansregular" w:eastAsia="Times New Roman" w:hAnsi="open_sansregular" w:cs="Times New Roman"/>
          <w:color w:val="555555"/>
          <w:sz w:val="21"/>
          <w:szCs w:val="21"/>
          <w:lang w:eastAsia="it-IT"/>
        </w:rPr>
        <w:t>, comma 2-bis, del codice della strada.</w:t>
      </w:r>
      <w:r w:rsidRPr="00C21E90">
        <w:rPr>
          <w:rFonts w:ascii="open_sansregular" w:eastAsia="Times New Roman" w:hAnsi="open_sansregular" w:cs="Times New Roman"/>
          <w:color w:val="555555"/>
          <w:sz w:val="21"/>
          <w:szCs w:val="21"/>
          <w:lang w:eastAsia="it-IT"/>
        </w:rPr>
        <w:br/>
      </w:r>
      <w:r w:rsidRPr="00C21E90">
        <w:rPr>
          <w:rFonts w:ascii="open_sansregular" w:eastAsia="Times New Roman" w:hAnsi="open_sansregular" w:cs="Times New Roman"/>
          <w:color w:val="555555"/>
          <w:sz w:val="21"/>
          <w:szCs w:val="21"/>
          <w:lang w:eastAsia="it-IT"/>
        </w:rPr>
        <w:br/>
        <w:t xml:space="preserve">Il Direttore Generale </w:t>
      </w:r>
      <w:r w:rsidRPr="00C21E90">
        <w:rPr>
          <w:rFonts w:ascii="open_sansregular" w:eastAsia="Times New Roman" w:hAnsi="open_sansregular" w:cs="Times New Roman"/>
          <w:color w:val="555555"/>
          <w:sz w:val="21"/>
          <w:szCs w:val="21"/>
          <w:lang w:eastAsia="it-IT"/>
        </w:rPr>
        <w:br/>
        <w:t xml:space="preserve">Dott. Ing. Sergio </w:t>
      </w:r>
      <w:proofErr w:type="spellStart"/>
      <w:r w:rsidRPr="00C21E90">
        <w:rPr>
          <w:rFonts w:ascii="open_sansregular" w:eastAsia="Times New Roman" w:hAnsi="open_sansregular" w:cs="Times New Roman"/>
          <w:color w:val="555555"/>
          <w:sz w:val="21"/>
          <w:szCs w:val="21"/>
          <w:lang w:eastAsia="it-IT"/>
        </w:rPr>
        <w:t>Dondolini</w:t>
      </w:r>
      <w:proofErr w:type="spellEnd"/>
    </w:p>
    <w:p w:rsidR="00C21E90" w:rsidRPr="00C21E90" w:rsidRDefault="00C21E90" w:rsidP="00C21E90">
      <w:pPr>
        <w:shd w:val="clear" w:color="auto" w:fill="F8F8F8"/>
        <w:spacing w:after="0" w:line="240" w:lineRule="auto"/>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color w:val="555555"/>
          <w:sz w:val="21"/>
          <w:szCs w:val="21"/>
          <w:lang w:eastAsia="it-IT"/>
        </w:rPr>
        <w:pict>
          <v:rect id="_x0000_i1025" style="width:0;height:1.5pt" o:hralign="center" o:hrstd="t" o:hr="t" fillcolor="#a0a0a0" stroked="f"/>
        </w:pict>
      </w:r>
    </w:p>
    <w:p w:rsidR="00C21E90" w:rsidRPr="00C21E90" w:rsidRDefault="00C21E90" w:rsidP="00C21E90">
      <w:pPr>
        <w:shd w:val="clear" w:color="auto" w:fill="F8F8F8"/>
        <w:spacing w:after="100" w:afterAutospacing="1" w:line="240" w:lineRule="auto"/>
        <w:jc w:val="both"/>
        <w:rPr>
          <w:rFonts w:ascii="open_sansregular" w:eastAsia="Times New Roman" w:hAnsi="open_sansregular" w:cs="Times New Roman"/>
          <w:color w:val="555555"/>
          <w:sz w:val="21"/>
          <w:szCs w:val="21"/>
          <w:lang w:eastAsia="it-IT"/>
        </w:rPr>
      </w:pPr>
      <w:r w:rsidRPr="00C21E90">
        <w:rPr>
          <w:rFonts w:ascii="open_sansregular" w:eastAsia="Times New Roman" w:hAnsi="open_sansregular" w:cs="Times New Roman"/>
          <w:i/>
          <w:iCs/>
          <w:color w:val="555555"/>
          <w:sz w:val="21"/>
          <w:lang w:eastAsia="it-IT"/>
        </w:rPr>
        <w:t>Si è posta la necessità di definire specifici criteri per calcolare, secondo le norme vigenti, la nuova data di scadenza di validità della patente nel caso in cui il suo titolare proceda al rinnovo di validità successivamente alla scadenza di detto documento.  Alcuni esempi di rinnovi post scadenza. (ASAPS)</w:t>
      </w:r>
    </w:p>
    <w:p w:rsidR="000B7DBF" w:rsidRDefault="000B7DBF"/>
    <w:sectPr w:rsidR="000B7DBF" w:rsidSect="000B7D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Times New Roman"/>
    <w:charset w:val="00"/>
    <w:family w:val="auto"/>
    <w:pitch w:val="default"/>
    <w:sig w:usb0="00000000" w:usb1="00000000" w:usb2="00000000" w:usb3="00000000" w:csb0="00000000" w:csb1="00000000"/>
  </w:font>
  <w:font w:name="open_sans_condensedbold">
    <w:altName w:val="Times New Roman"/>
    <w:charset w:val="00"/>
    <w:family w:val="auto"/>
    <w:pitch w:val="default"/>
    <w:sig w:usb0="00000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1E90"/>
    <w:rsid w:val="000B7DBF"/>
    <w:rsid w:val="005F510E"/>
    <w:rsid w:val="00C21E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D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21E90"/>
    <w:rPr>
      <w:i/>
      <w:iCs/>
    </w:rPr>
  </w:style>
</w:styles>
</file>

<file path=word/webSettings.xml><?xml version="1.0" encoding="utf-8"?>
<w:webSettings xmlns:r="http://schemas.openxmlformats.org/officeDocument/2006/relationships" xmlns:w="http://schemas.openxmlformats.org/wordprocessingml/2006/main">
  <w:divs>
    <w:div w:id="208156229">
      <w:bodyDiv w:val="1"/>
      <w:marLeft w:val="0"/>
      <w:marRight w:val="0"/>
      <w:marTop w:val="0"/>
      <w:marBottom w:val="0"/>
      <w:divBdr>
        <w:top w:val="none" w:sz="0" w:space="0" w:color="auto"/>
        <w:left w:val="none" w:sz="0" w:space="0" w:color="auto"/>
        <w:bottom w:val="none" w:sz="0" w:space="0" w:color="auto"/>
        <w:right w:val="none" w:sz="0" w:space="0" w:color="auto"/>
      </w:divBdr>
      <w:divsChild>
        <w:div w:id="698894158">
          <w:marLeft w:val="0"/>
          <w:marRight w:val="0"/>
          <w:marTop w:val="0"/>
          <w:marBottom w:val="0"/>
          <w:divBdr>
            <w:top w:val="none" w:sz="0" w:space="0" w:color="auto"/>
            <w:left w:val="single" w:sz="6" w:space="0" w:color="CCCCCC"/>
            <w:bottom w:val="none" w:sz="0" w:space="0" w:color="auto"/>
            <w:right w:val="single" w:sz="6" w:space="0" w:color="CCCCCC"/>
          </w:divBdr>
          <w:divsChild>
            <w:div w:id="2106462340">
              <w:marLeft w:val="0"/>
              <w:marRight w:val="0"/>
              <w:marTop w:val="0"/>
              <w:marBottom w:val="0"/>
              <w:divBdr>
                <w:top w:val="none" w:sz="0" w:space="0" w:color="auto"/>
                <w:left w:val="none" w:sz="0" w:space="0" w:color="auto"/>
                <w:bottom w:val="none" w:sz="0" w:space="0" w:color="auto"/>
                <w:right w:val="single" w:sz="6" w:space="0" w:color="CCCCCC"/>
              </w:divBdr>
              <w:divsChild>
                <w:div w:id="59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ente.it/ecom.dll/noAjax?idc=385" TargetMode="External"/><Relationship Id="rId3" Type="http://schemas.openxmlformats.org/officeDocument/2006/relationships/webSettings" Target="webSettings.xml"/><Relationship Id="rId7" Type="http://schemas.openxmlformats.org/officeDocument/2006/relationships/hyperlink" Target="http://www.patente.it/ecom.dll/noAjax?idc=18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ente.it/ecom.dll/noAjax?idc=2005" TargetMode="External"/><Relationship Id="rId11" Type="http://schemas.openxmlformats.org/officeDocument/2006/relationships/theme" Target="theme/theme1.xml"/><Relationship Id="rId5" Type="http://schemas.openxmlformats.org/officeDocument/2006/relationships/hyperlink" Target="http://www.patente.it/ecom.dll/noAjax?idc=231" TargetMode="External"/><Relationship Id="rId10" Type="http://schemas.openxmlformats.org/officeDocument/2006/relationships/fontTable" Target="fontTable.xml"/><Relationship Id="rId4" Type="http://schemas.openxmlformats.org/officeDocument/2006/relationships/hyperlink" Target="http://www.patente.it/ecom.dll/noAjax?idc=1835" TargetMode="External"/><Relationship Id="rId9" Type="http://schemas.openxmlformats.org/officeDocument/2006/relationships/hyperlink" Target="http://www.patente.it/ecom.dll/noAjax?idc=3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cp:lastPrinted>2019-10-31T16:27:00Z</cp:lastPrinted>
  <dcterms:created xsi:type="dcterms:W3CDTF">2019-10-31T14:05:00Z</dcterms:created>
  <dcterms:modified xsi:type="dcterms:W3CDTF">2019-10-31T16:28:00Z</dcterms:modified>
</cp:coreProperties>
</file>