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15" w:rsidRDefault="00BB7D15" w:rsidP="00BB7D15">
      <w:pPr>
        <w:spacing w:before="330" w:after="165" w:line="240" w:lineRule="auto"/>
        <w:jc w:val="center"/>
        <w:outlineLvl w:val="0"/>
        <w:rPr>
          <w:rFonts w:ascii="inherit" w:eastAsia="Times New Roman" w:hAnsi="inherit" w:cs="Arial"/>
          <w:b/>
          <w:bCs/>
          <w:color w:val="49535D"/>
          <w:kern w:val="36"/>
          <w:sz w:val="29"/>
          <w:szCs w:val="29"/>
          <w:lang w:eastAsia="it-IT"/>
        </w:rPr>
      </w:pPr>
      <w:r>
        <w:rPr>
          <w:rFonts w:ascii="inherit" w:eastAsia="Times New Roman" w:hAnsi="inherit" w:cs="Arial"/>
          <w:b/>
          <w:bCs/>
          <w:color w:val="49535D"/>
          <w:kern w:val="36"/>
          <w:sz w:val="29"/>
          <w:szCs w:val="29"/>
          <w:lang w:eastAsia="it-IT"/>
        </w:rPr>
        <w:t>INPS</w:t>
      </w:r>
    </w:p>
    <w:p w:rsidR="00BB7D15" w:rsidRPr="00BB7D15" w:rsidRDefault="00BB7D15" w:rsidP="00BB7D15">
      <w:pPr>
        <w:rPr>
          <w:b/>
          <w:kern w:val="36"/>
          <w:lang w:eastAsia="it-IT"/>
        </w:rPr>
      </w:pPr>
      <w:r w:rsidRPr="00BB7D15">
        <w:rPr>
          <w:b/>
          <w:kern w:val="36"/>
          <w:lang w:eastAsia="it-IT"/>
        </w:rPr>
        <w:t xml:space="preserve">Polo unico: chiarimenti visite ambulatoriali lavoratori pubblici </w:t>
      </w:r>
    </w:p>
    <w:p w:rsidR="00B2657D" w:rsidRDefault="00BB7D15" w:rsidP="00BB7D15">
      <w:pPr>
        <w:rPr>
          <w:rFonts w:ascii="Titillium Web" w:eastAsia="Times New Roman" w:hAnsi="Titillium Web" w:cs="Arial"/>
          <w:color w:val="49535D"/>
          <w:sz w:val="24"/>
          <w:szCs w:val="24"/>
          <w:lang w:eastAsia="it-IT"/>
        </w:rPr>
      </w:pPr>
      <w:r w:rsidRPr="00BB7D15">
        <w:rPr>
          <w:rFonts w:ascii="Titillium Web" w:eastAsia="Times New Roman" w:hAnsi="Titillium Web" w:cs="Arial"/>
          <w:color w:val="49535D"/>
          <w:sz w:val="24"/>
          <w:szCs w:val="24"/>
          <w:lang w:eastAsia="it-IT"/>
        </w:rPr>
        <w:t>02 novembre 2017</w:t>
      </w:r>
    </w:p>
    <w:p w:rsidR="00BB7D15" w:rsidRDefault="00BB7D15" w:rsidP="00BB7D15">
      <w:pPr>
        <w:pStyle w:val="NormaleWeb"/>
        <w:rPr>
          <w:rFonts w:ascii="Titillium Web" w:hAnsi="Titillium Web" w:cs="Arial"/>
          <w:color w:val="49535D"/>
        </w:rPr>
      </w:pPr>
      <w:r>
        <w:rPr>
          <w:rFonts w:ascii="Titillium Web" w:hAnsi="Titillium Web" w:cs="Arial"/>
          <w:color w:val="49535D"/>
        </w:rPr>
        <w:t xml:space="preserve">Con il </w:t>
      </w:r>
      <w:hyperlink r:id="rId4" w:tooltip="Vai al messaggio" w:history="1">
        <w:r>
          <w:rPr>
            <w:rFonts w:ascii="Titillium Web" w:hAnsi="Titillium Web" w:cs="Arial"/>
            <w:color w:val="677584"/>
          </w:rPr>
          <w:t>messaggio 31 ottobre 2017, n. 4282</w:t>
        </w:r>
      </w:hyperlink>
      <w:r>
        <w:rPr>
          <w:rFonts w:ascii="Titillium Web" w:hAnsi="Titillium Web" w:cs="Arial"/>
          <w:color w:val="49535D"/>
        </w:rPr>
        <w:t xml:space="preserve"> l’INPS, facendo riferimento ai messaggi </w:t>
      </w:r>
      <w:hyperlink r:id="rId5" w:tooltip="Vai al messaggio" w:history="1">
        <w:r>
          <w:rPr>
            <w:rFonts w:ascii="Titillium Web" w:hAnsi="Titillium Web" w:cs="Arial"/>
            <w:color w:val="677584"/>
          </w:rPr>
          <w:t xml:space="preserve">9 agosto 2017, n. 3265 </w:t>
        </w:r>
      </w:hyperlink>
      <w:r>
        <w:rPr>
          <w:rFonts w:ascii="Titillium Web" w:hAnsi="Titillium Web" w:cs="Arial"/>
          <w:color w:val="49535D"/>
        </w:rPr>
        <w:t xml:space="preserve">e 31 agosto 2017, n. 3384, fornisce ulteriori chiarimenti in merito alle </w:t>
      </w:r>
      <w:r>
        <w:rPr>
          <w:rStyle w:val="Enfasigrassetto"/>
          <w:rFonts w:ascii="Titillium Web" w:hAnsi="Titillium Web" w:cs="Arial"/>
          <w:color w:val="49535D"/>
        </w:rPr>
        <w:t>visite mediche ambulatoriali</w:t>
      </w:r>
      <w:r>
        <w:rPr>
          <w:rFonts w:ascii="Titillium Web" w:hAnsi="Titillium Web" w:cs="Arial"/>
          <w:color w:val="49535D"/>
        </w:rPr>
        <w:t>, conseguenti all’</w:t>
      </w:r>
      <w:r>
        <w:rPr>
          <w:rStyle w:val="Enfasigrassetto"/>
          <w:rFonts w:ascii="Titillium Web" w:hAnsi="Titillium Web" w:cs="Arial"/>
          <w:color w:val="49535D"/>
        </w:rPr>
        <w:t>assenza del lavoratore pubblico</w:t>
      </w:r>
      <w:r>
        <w:rPr>
          <w:rFonts w:ascii="Titillium Web" w:hAnsi="Titillium Web" w:cs="Arial"/>
          <w:color w:val="49535D"/>
        </w:rPr>
        <w:t xml:space="preserve">, al domicilio di reperibilità. </w:t>
      </w:r>
    </w:p>
    <w:p w:rsidR="00BB7D15" w:rsidRDefault="00BB7D15" w:rsidP="00BB7D15">
      <w:pPr>
        <w:pStyle w:val="NormaleWeb"/>
        <w:rPr>
          <w:rFonts w:ascii="Titillium Web" w:hAnsi="Titillium Web" w:cs="Arial"/>
          <w:color w:val="49535D"/>
        </w:rPr>
      </w:pPr>
      <w:r>
        <w:rPr>
          <w:rFonts w:ascii="Titillium Web" w:hAnsi="Titillium Web" w:cs="Arial"/>
          <w:color w:val="49535D"/>
        </w:rPr>
        <w:t xml:space="preserve">A seguito di tali indicazioni, che riguardano tutte le nuove attività degli uffici medico legali e le documentazioni amministrative e sanitarie da presentare, si precisa che </w:t>
      </w:r>
      <w:r>
        <w:rPr>
          <w:rStyle w:val="Enfasigrassetto"/>
          <w:rFonts w:ascii="Titillium Web" w:hAnsi="Titillium Web" w:cs="Arial"/>
          <w:color w:val="49535D"/>
        </w:rPr>
        <w:t>il medico dovrà sempre effettuare la convocazione a visita ambulatoriale</w:t>
      </w:r>
      <w:r>
        <w:rPr>
          <w:rFonts w:ascii="Titillium Web" w:hAnsi="Titillium Web" w:cs="Arial"/>
          <w:color w:val="49535D"/>
        </w:rPr>
        <w:t>, sia nel caso in cui la visita domiciliare sia stata richiesta dal datore di lavoro pubblico, sia se disposta d’ufficio dall’Istituto. Ciò al fine di completare in maniera adeguata il processo di verifica delle assenze per malattia del dipendente pubblico, alla luce dell’attuale normativa che attribuisce all’INPS la competenza esclusiva in materia.</w:t>
      </w:r>
    </w:p>
    <w:p w:rsidR="00BB7D15" w:rsidRPr="00BB7D15" w:rsidRDefault="00BB7D15" w:rsidP="00BB7D15">
      <w:pPr>
        <w:spacing w:after="480" w:line="240" w:lineRule="auto"/>
        <w:outlineLvl w:val="2"/>
        <w:rPr>
          <w:rFonts w:ascii="inherit" w:eastAsia="Times New Roman" w:hAnsi="inherit" w:cs="Arial"/>
          <w:b/>
          <w:bCs/>
          <w:color w:val="007DB3"/>
          <w:sz w:val="27"/>
          <w:szCs w:val="27"/>
          <w:lang w:eastAsia="it-IT"/>
        </w:rPr>
      </w:pPr>
      <w:r w:rsidRPr="00BB7D15">
        <w:rPr>
          <w:rFonts w:ascii="inherit" w:eastAsia="Times New Roman" w:hAnsi="inherit" w:cs="Arial"/>
          <w:b/>
          <w:bCs/>
          <w:color w:val="007DB3"/>
          <w:sz w:val="27"/>
          <w:szCs w:val="27"/>
          <w:lang w:eastAsia="it-IT"/>
        </w:rPr>
        <w:t>Per Continuare</w:t>
      </w:r>
    </w:p>
    <w:p w:rsidR="00BB7D15" w:rsidRPr="00BB7D15" w:rsidRDefault="00230C51" w:rsidP="00BB7D15">
      <w:pPr>
        <w:spacing w:after="0" w:line="240" w:lineRule="auto"/>
        <w:rPr>
          <w:rFonts w:ascii="Titillium Web" w:eastAsia="Times New Roman" w:hAnsi="Titillium Web" w:cs="Arial"/>
          <w:color w:val="005980"/>
          <w:sz w:val="24"/>
          <w:szCs w:val="24"/>
          <w:lang w:eastAsia="it-IT"/>
        </w:rPr>
      </w:pPr>
      <w:r w:rsidRPr="00BB7D15">
        <w:rPr>
          <w:rFonts w:ascii="Titillium Web" w:eastAsia="Times New Roman" w:hAnsi="Titillium Web" w:cs="Arial"/>
          <w:color w:val="49535D"/>
          <w:sz w:val="24"/>
          <w:szCs w:val="24"/>
          <w:lang w:eastAsia="it-IT"/>
        </w:rPr>
        <w:fldChar w:fldCharType="begin"/>
      </w:r>
      <w:r w:rsidR="00BB7D15" w:rsidRPr="00BB7D15">
        <w:rPr>
          <w:rFonts w:ascii="Titillium Web" w:eastAsia="Times New Roman" w:hAnsi="Titillium Web" w:cs="Arial"/>
          <w:color w:val="49535D"/>
          <w:sz w:val="24"/>
          <w:szCs w:val="24"/>
          <w:lang w:eastAsia="it-IT"/>
        </w:rPr>
        <w:instrText xml:space="preserve"> HYPERLINK "https://www.inps.it/nuovoportaleinps/default.aspx?itemDir=51200" </w:instrText>
      </w:r>
      <w:r w:rsidRPr="00BB7D15">
        <w:rPr>
          <w:rFonts w:ascii="Titillium Web" w:eastAsia="Times New Roman" w:hAnsi="Titillium Web" w:cs="Arial"/>
          <w:color w:val="49535D"/>
          <w:sz w:val="24"/>
          <w:szCs w:val="24"/>
          <w:lang w:eastAsia="it-IT"/>
        </w:rPr>
        <w:fldChar w:fldCharType="separate"/>
      </w:r>
      <w:r w:rsidR="00BB7D15" w:rsidRPr="00BB7D15">
        <w:rPr>
          <w:rFonts w:ascii="Titillium Web" w:eastAsia="Times New Roman" w:hAnsi="Titillium Web" w:cs="Arial"/>
          <w:b/>
          <w:bCs/>
          <w:color w:val="005980"/>
          <w:sz w:val="24"/>
          <w:szCs w:val="24"/>
          <w:lang w:eastAsia="it-IT"/>
        </w:rPr>
        <w:t>Richiesta Visite Mediche di Controllo (Polo unico VMC)</w:t>
      </w:r>
    </w:p>
    <w:p w:rsidR="00BB7D15" w:rsidRDefault="00230C51" w:rsidP="00BB7D15">
      <w:r w:rsidRPr="00BB7D15">
        <w:rPr>
          <w:rFonts w:ascii="Titillium Web" w:eastAsia="Times New Roman" w:hAnsi="Titillium Web" w:cs="Arial"/>
          <w:color w:val="49535D"/>
          <w:sz w:val="24"/>
          <w:szCs w:val="24"/>
          <w:lang w:eastAsia="it-IT"/>
        </w:rPr>
        <w:fldChar w:fldCharType="end"/>
      </w:r>
    </w:p>
    <w:sectPr w:rsidR="00BB7D15"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tillium Web">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7D15"/>
    <w:rsid w:val="00230C51"/>
    <w:rsid w:val="00240343"/>
    <w:rsid w:val="00B2657D"/>
    <w:rsid w:val="00BB7D15"/>
    <w:rsid w:val="00C70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1">
    <w:name w:val="heading 1"/>
    <w:basedOn w:val="Normale"/>
    <w:link w:val="Titolo1Carattere"/>
    <w:uiPriority w:val="9"/>
    <w:qFormat/>
    <w:rsid w:val="00BB7D15"/>
    <w:pPr>
      <w:spacing w:before="330" w:after="165" w:line="240" w:lineRule="auto"/>
      <w:outlineLvl w:val="0"/>
    </w:pPr>
    <w:rPr>
      <w:rFonts w:ascii="inherit" w:eastAsia="Times New Roman" w:hAnsi="inherit" w:cs="Times New Roman"/>
      <w:b/>
      <w:bCs/>
      <w:kern w:val="36"/>
      <w:sz w:val="29"/>
      <w:szCs w:val="2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7D15"/>
    <w:rPr>
      <w:rFonts w:ascii="inherit" w:eastAsia="Times New Roman" w:hAnsi="inherit" w:cs="Times New Roman"/>
      <w:b/>
      <w:bCs/>
      <w:kern w:val="36"/>
      <w:sz w:val="29"/>
      <w:szCs w:val="29"/>
      <w:lang w:eastAsia="it-IT"/>
    </w:rPr>
  </w:style>
  <w:style w:type="character" w:customStyle="1" w:styleId="articlemetalabel3">
    <w:name w:val="article__meta__label3"/>
    <w:basedOn w:val="Carpredefinitoparagrafo"/>
    <w:rsid w:val="00BB7D15"/>
  </w:style>
  <w:style w:type="character" w:styleId="Enfasigrassetto">
    <w:name w:val="Strong"/>
    <w:basedOn w:val="Carpredefinitoparagrafo"/>
    <w:uiPriority w:val="22"/>
    <w:qFormat/>
    <w:rsid w:val="00BB7D15"/>
    <w:rPr>
      <w:b/>
      <w:bCs/>
    </w:rPr>
  </w:style>
  <w:style w:type="paragraph" w:styleId="NormaleWeb">
    <w:name w:val="Normal (Web)"/>
    <w:basedOn w:val="Normale"/>
    <w:uiPriority w:val="99"/>
    <w:semiHidden/>
    <w:unhideWhenUsed/>
    <w:rsid w:val="00BB7D15"/>
    <w:pPr>
      <w:spacing w:after="165" w:line="240" w:lineRule="auto"/>
    </w:pPr>
    <w:rPr>
      <w:rFonts w:ascii="Times New Roman" w:eastAsia="Times New Roman" w:hAnsi="Times New Roman" w:cs="Times New Roman"/>
      <w:sz w:val="24"/>
      <w:szCs w:val="24"/>
      <w:lang w:eastAsia="it-IT"/>
    </w:rPr>
  </w:style>
  <w:style w:type="character" w:customStyle="1" w:styleId="title6">
    <w:name w:val="title6"/>
    <w:basedOn w:val="Carpredefinitoparagrafo"/>
    <w:rsid w:val="00BB7D15"/>
    <w:rPr>
      <w:b/>
      <w:bCs/>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227255850">
      <w:bodyDiv w:val="1"/>
      <w:marLeft w:val="0"/>
      <w:marRight w:val="0"/>
      <w:marTop w:val="0"/>
      <w:marBottom w:val="0"/>
      <w:divBdr>
        <w:top w:val="none" w:sz="0" w:space="0" w:color="auto"/>
        <w:left w:val="none" w:sz="0" w:space="0" w:color="auto"/>
        <w:bottom w:val="none" w:sz="0" w:space="0" w:color="auto"/>
        <w:right w:val="none" w:sz="0" w:space="0" w:color="auto"/>
      </w:divBdr>
      <w:divsChild>
        <w:div w:id="1982036275">
          <w:marLeft w:val="0"/>
          <w:marRight w:val="0"/>
          <w:marTop w:val="0"/>
          <w:marBottom w:val="0"/>
          <w:divBdr>
            <w:top w:val="none" w:sz="0" w:space="0" w:color="auto"/>
            <w:left w:val="none" w:sz="0" w:space="0" w:color="auto"/>
            <w:bottom w:val="none" w:sz="0" w:space="0" w:color="auto"/>
            <w:right w:val="none" w:sz="0" w:space="0" w:color="auto"/>
          </w:divBdr>
          <w:divsChild>
            <w:div w:id="520558540">
              <w:marLeft w:val="-240"/>
              <w:marRight w:val="-240"/>
              <w:marTop w:val="0"/>
              <w:marBottom w:val="0"/>
              <w:divBdr>
                <w:top w:val="none" w:sz="0" w:space="0" w:color="auto"/>
                <w:left w:val="none" w:sz="0" w:space="0" w:color="auto"/>
                <w:bottom w:val="none" w:sz="0" w:space="0" w:color="auto"/>
                <w:right w:val="none" w:sz="0" w:space="0" w:color="auto"/>
              </w:divBdr>
              <w:divsChild>
                <w:div w:id="1432553713">
                  <w:marLeft w:val="0"/>
                  <w:marRight w:val="0"/>
                  <w:marTop w:val="288"/>
                  <w:marBottom w:val="0"/>
                  <w:divBdr>
                    <w:top w:val="none" w:sz="0" w:space="0" w:color="auto"/>
                    <w:left w:val="none" w:sz="0" w:space="0" w:color="auto"/>
                    <w:bottom w:val="none" w:sz="0" w:space="0" w:color="auto"/>
                    <w:right w:val="none" w:sz="0" w:space="0" w:color="auto"/>
                  </w:divBdr>
                  <w:divsChild>
                    <w:div w:id="1215234824">
                      <w:marLeft w:val="0"/>
                      <w:marRight w:val="0"/>
                      <w:marTop w:val="768"/>
                      <w:marBottom w:val="0"/>
                      <w:divBdr>
                        <w:top w:val="none" w:sz="0" w:space="0" w:color="auto"/>
                        <w:left w:val="none" w:sz="0" w:space="0" w:color="auto"/>
                        <w:bottom w:val="none" w:sz="0" w:space="0" w:color="auto"/>
                        <w:right w:val="none" w:sz="0" w:space="0" w:color="auto"/>
                      </w:divBdr>
                      <w:divsChild>
                        <w:div w:id="18836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5639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47">
          <w:marLeft w:val="0"/>
          <w:marRight w:val="0"/>
          <w:marTop w:val="0"/>
          <w:marBottom w:val="0"/>
          <w:divBdr>
            <w:top w:val="none" w:sz="0" w:space="0" w:color="auto"/>
            <w:left w:val="none" w:sz="0" w:space="0" w:color="auto"/>
            <w:bottom w:val="none" w:sz="0" w:space="0" w:color="auto"/>
            <w:right w:val="none" w:sz="0" w:space="0" w:color="auto"/>
          </w:divBdr>
          <w:divsChild>
            <w:div w:id="107048009">
              <w:marLeft w:val="-240"/>
              <w:marRight w:val="-240"/>
              <w:marTop w:val="0"/>
              <w:marBottom w:val="0"/>
              <w:divBdr>
                <w:top w:val="none" w:sz="0" w:space="0" w:color="auto"/>
                <w:left w:val="none" w:sz="0" w:space="0" w:color="auto"/>
                <w:bottom w:val="none" w:sz="0" w:space="0" w:color="auto"/>
                <w:right w:val="none" w:sz="0" w:space="0" w:color="auto"/>
              </w:divBdr>
              <w:divsChild>
                <w:div w:id="498541200">
                  <w:marLeft w:val="0"/>
                  <w:marRight w:val="0"/>
                  <w:marTop w:val="288"/>
                  <w:marBottom w:val="0"/>
                  <w:divBdr>
                    <w:top w:val="none" w:sz="0" w:space="0" w:color="auto"/>
                    <w:left w:val="none" w:sz="0" w:space="0" w:color="auto"/>
                    <w:bottom w:val="none" w:sz="0" w:space="0" w:color="auto"/>
                    <w:right w:val="none" w:sz="0" w:space="0" w:color="auto"/>
                  </w:divBdr>
                  <w:divsChild>
                    <w:div w:id="2006473488">
                      <w:marLeft w:val="0"/>
                      <w:marRight w:val="0"/>
                      <w:marTop w:val="0"/>
                      <w:marBottom w:val="0"/>
                      <w:divBdr>
                        <w:top w:val="none" w:sz="0" w:space="0" w:color="auto"/>
                        <w:left w:val="none" w:sz="0" w:space="0" w:color="auto"/>
                        <w:bottom w:val="none" w:sz="0" w:space="0" w:color="auto"/>
                        <w:right w:val="none" w:sz="0" w:space="0" w:color="auto"/>
                      </w:divBdr>
                      <w:divsChild>
                        <w:div w:id="5323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38194">
      <w:bodyDiv w:val="1"/>
      <w:marLeft w:val="0"/>
      <w:marRight w:val="0"/>
      <w:marTop w:val="0"/>
      <w:marBottom w:val="0"/>
      <w:divBdr>
        <w:top w:val="none" w:sz="0" w:space="0" w:color="auto"/>
        <w:left w:val="none" w:sz="0" w:space="0" w:color="auto"/>
        <w:bottom w:val="none" w:sz="0" w:space="0" w:color="auto"/>
        <w:right w:val="none" w:sz="0" w:space="0" w:color="auto"/>
      </w:divBdr>
      <w:divsChild>
        <w:div w:id="2109083298">
          <w:marLeft w:val="0"/>
          <w:marRight w:val="0"/>
          <w:marTop w:val="0"/>
          <w:marBottom w:val="0"/>
          <w:divBdr>
            <w:top w:val="none" w:sz="0" w:space="0" w:color="auto"/>
            <w:left w:val="none" w:sz="0" w:space="0" w:color="auto"/>
            <w:bottom w:val="none" w:sz="0" w:space="0" w:color="auto"/>
            <w:right w:val="none" w:sz="0" w:space="0" w:color="auto"/>
          </w:divBdr>
          <w:divsChild>
            <w:div w:id="1288009309">
              <w:marLeft w:val="-240"/>
              <w:marRight w:val="-240"/>
              <w:marTop w:val="0"/>
              <w:marBottom w:val="0"/>
              <w:divBdr>
                <w:top w:val="none" w:sz="0" w:space="0" w:color="auto"/>
                <w:left w:val="none" w:sz="0" w:space="0" w:color="auto"/>
                <w:bottom w:val="none" w:sz="0" w:space="0" w:color="auto"/>
                <w:right w:val="none" w:sz="0" w:space="0" w:color="auto"/>
              </w:divBdr>
              <w:divsChild>
                <w:div w:id="1546257483">
                  <w:marLeft w:val="0"/>
                  <w:marRight w:val="0"/>
                  <w:marTop w:val="0"/>
                  <w:marBottom w:val="0"/>
                  <w:divBdr>
                    <w:top w:val="none" w:sz="0" w:space="0" w:color="auto"/>
                    <w:left w:val="none" w:sz="0" w:space="0" w:color="auto"/>
                    <w:bottom w:val="none" w:sz="0" w:space="0" w:color="auto"/>
                    <w:right w:val="none" w:sz="0" w:space="0" w:color="auto"/>
                  </w:divBdr>
                  <w:divsChild>
                    <w:div w:id="1346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ps.it/nuovoportaleinps/default.aspx?sPathID=%3b0%3b50804%3b&amp;lastMenu=50804&amp;iMenu=1&amp;sURL=http%3a%2f%2fwww.inps.it%2fbussola%2fvisualizzadoc.aspx%3fsvirtualurl%3d%2fmessaggi%2fMessaggio+numero+3265+del+09-08-2017.htm&amp;RedirectForzato=True" TargetMode="External"/><Relationship Id="rId4" Type="http://schemas.openxmlformats.org/officeDocument/2006/relationships/hyperlink" Target="https://www.inps.it/nuovoportaleinps/default.aspx?sPathID=%3b0%3b50804%3b&amp;lastMenu=50804&amp;iMenu=1&amp;sURL=http%3a%2f%2fwww.inps.it%2fbussola%2fvisualizzadoc.aspx%3fsvirtualurl%3d%2fmessaggi%2fMessaggio+numero+4282+del+31-10-2017.htm&amp;RedirectForzato=Tr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2017-11-06T08:07:00Z</dcterms:created>
  <dcterms:modified xsi:type="dcterms:W3CDTF">2017-11-06T08:07:00Z</dcterms:modified>
</cp:coreProperties>
</file>