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C2" w:rsidRPr="007455C2" w:rsidRDefault="007455C2" w:rsidP="007455C2">
      <w:pPr>
        <w:jc w:val="left"/>
        <w:rPr>
          <w:rFonts w:ascii="Times New Roman" w:eastAsia="Times New Roman" w:hAnsi="Times New Roman" w:cs="Times New Roman"/>
          <w:sz w:val="24"/>
          <w:szCs w:val="24"/>
          <w:lang w:eastAsia="it-IT"/>
        </w:rPr>
      </w:pPr>
      <w:r w:rsidRPr="007455C2">
        <w:rPr>
          <w:rFonts w:ascii="Times New Roman" w:eastAsia="Times New Roman" w:hAnsi="Times New Roman" w:cs="Times New Roman"/>
          <w:color w:val="000000"/>
          <w:sz w:val="27"/>
          <w:szCs w:val="27"/>
          <w:lang w:eastAsia="it-IT"/>
        </w:rPr>
        <w:t>Pubblicato il 23/08/2019</w:t>
      </w:r>
    </w:p>
    <w:p w:rsidR="007455C2" w:rsidRPr="007455C2" w:rsidRDefault="007455C2" w:rsidP="007455C2">
      <w:pPr>
        <w:spacing w:before="100" w:beforeAutospacing="1" w:after="100" w:afterAutospacing="1" w:line="0" w:lineRule="atLeast"/>
        <w:jc w:val="right"/>
        <w:rPr>
          <w:rFonts w:ascii="Times Nordic" w:eastAsia="Times New Roman" w:hAnsi="Times Nordic" w:cs="Times New Roman"/>
          <w:b/>
          <w:bCs/>
          <w:color w:val="000000"/>
          <w:sz w:val="22"/>
          <w:lang w:eastAsia="it-IT"/>
        </w:rPr>
      </w:pPr>
      <w:r w:rsidRPr="007455C2">
        <w:rPr>
          <w:rFonts w:ascii="Times Nordic" w:eastAsia="Times New Roman" w:hAnsi="Times Nordic" w:cs="Times New Roman"/>
          <w:b/>
          <w:bCs/>
          <w:color w:val="000000"/>
          <w:sz w:val="22"/>
          <w:lang w:eastAsia="it-IT"/>
        </w:rPr>
        <w:t>N. 05821/2019REG.PROV.COLL.</w:t>
      </w:r>
    </w:p>
    <w:p w:rsidR="007455C2" w:rsidRPr="007455C2" w:rsidRDefault="007455C2" w:rsidP="007455C2">
      <w:pPr>
        <w:spacing w:before="100" w:beforeAutospacing="1" w:after="100" w:afterAutospacing="1" w:line="0" w:lineRule="atLeast"/>
        <w:jc w:val="right"/>
        <w:rPr>
          <w:rFonts w:ascii="Times Nordic" w:eastAsia="Times New Roman" w:hAnsi="Times Nordic" w:cs="Times New Roman"/>
          <w:b/>
          <w:bCs/>
          <w:color w:val="000000"/>
          <w:sz w:val="22"/>
          <w:lang w:eastAsia="it-IT"/>
        </w:rPr>
      </w:pPr>
      <w:r w:rsidRPr="007455C2">
        <w:rPr>
          <w:rFonts w:ascii="Times Nordic" w:eastAsia="Times New Roman" w:hAnsi="Times Nordic" w:cs="Times New Roman"/>
          <w:b/>
          <w:bCs/>
          <w:color w:val="000000"/>
          <w:sz w:val="22"/>
          <w:lang w:eastAsia="it-IT"/>
        </w:rPr>
        <w:t>N. 09207/2018 REG.RIC.</w:t>
      </w:r>
    </w:p>
    <w:p w:rsidR="007455C2" w:rsidRPr="007455C2" w:rsidRDefault="007455C2" w:rsidP="007455C2">
      <w:pPr>
        <w:spacing w:before="100" w:beforeAutospacing="1" w:after="100" w:afterAutospacing="1"/>
        <w:jc w:val="center"/>
        <w:rPr>
          <w:rFonts w:ascii="Garamond" w:eastAsia="Times New Roman" w:hAnsi="Garamond" w:cs="Times New Roman"/>
          <w:b/>
          <w:bCs/>
          <w:color w:val="000000"/>
          <w:spacing w:val="150"/>
          <w:sz w:val="27"/>
          <w:szCs w:val="27"/>
          <w:lang w:eastAsia="it-IT"/>
        </w:rPr>
      </w:pPr>
      <w:r w:rsidRPr="007455C2">
        <w:rPr>
          <w:rFonts w:ascii="Garamond" w:eastAsia="Times New Roman" w:hAnsi="Garamond" w:cs="Times New Roman"/>
          <w:b/>
          <w:bCs/>
          <w:noProof/>
          <w:color w:val="000000"/>
          <w:spacing w:val="150"/>
          <w:sz w:val="27"/>
          <w:szCs w:val="27"/>
          <w:lang w:eastAsia="it-IT"/>
        </w:rPr>
        <mc:AlternateContent>
          <mc:Choice Requires="wps">
            <w:drawing>
              <wp:inline distT="0" distB="0" distL="0" distR="0">
                <wp:extent cx="303530" cy="303530"/>
                <wp:effectExtent l="0" t="0" r="0" b="0"/>
                <wp:docPr id="1" name="Rettangolo 1" descr="https://www.giustizia-amministrativa.it/portale/pages/istituzionale/visualizza/stemm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B184D" id="Rettangolo 1" o:spid="_x0000_s1026" alt="https://www.giustizia-amministrativa.it/portale/pages/istituzionale/visualizza/stemma.jpg"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" filled="f" stroked="f">
                <o:lock v:ext="edit" aspectratio="t"/>
                <w10:anchorlock/>
              </v:rect>
            </w:pict>
          </mc:Fallback>
        </mc:AlternateContent>
      </w:r>
    </w:p>
    <w:p w:rsidR="007455C2" w:rsidRPr="007455C2" w:rsidRDefault="007455C2" w:rsidP="007455C2">
      <w:pPr>
        <w:spacing w:before="100" w:beforeAutospacing="1" w:after="100" w:afterAutospacing="1"/>
        <w:jc w:val="center"/>
        <w:outlineLvl w:val="1"/>
        <w:rPr>
          <w:rFonts w:ascii="Garamond" w:eastAsia="Times New Roman" w:hAnsi="Garamond" w:cs="Times New Roman"/>
          <w:b/>
          <w:bCs/>
          <w:color w:val="000000"/>
          <w:spacing w:val="150"/>
          <w:kern w:val="36"/>
          <w:sz w:val="24"/>
          <w:szCs w:val="24"/>
          <w:lang w:eastAsia="it-IT"/>
        </w:rPr>
      </w:pPr>
      <w:r w:rsidRPr="007455C2">
        <w:rPr>
          <w:rFonts w:ascii="Garamond" w:eastAsia="Times New Roman" w:hAnsi="Garamond" w:cs="Times New Roman"/>
          <w:b/>
          <w:bCs/>
          <w:color w:val="000000"/>
          <w:spacing w:val="150"/>
          <w:kern w:val="36"/>
          <w:sz w:val="24"/>
          <w:szCs w:val="24"/>
          <w:lang w:eastAsia="it-IT"/>
        </w:rPr>
        <w:t>REPUBBLICA ITALIANA</w:t>
      </w:r>
    </w:p>
    <w:p w:rsidR="007455C2" w:rsidRPr="007455C2" w:rsidRDefault="007455C2" w:rsidP="007455C2">
      <w:pPr>
        <w:spacing w:before="100" w:beforeAutospacing="1" w:after="100" w:afterAutospacing="1"/>
        <w:jc w:val="center"/>
        <w:rPr>
          <w:rFonts w:ascii="Garamond" w:eastAsia="Times New Roman" w:hAnsi="Garamond" w:cs="Times New Roman"/>
          <w:b/>
          <w:bCs/>
          <w:color w:val="000000"/>
          <w:sz w:val="22"/>
          <w:lang w:eastAsia="it-IT"/>
        </w:rPr>
      </w:pPr>
      <w:r w:rsidRPr="007455C2">
        <w:rPr>
          <w:rFonts w:ascii="Garamond" w:eastAsia="Times New Roman" w:hAnsi="Garamond" w:cs="Times New Roman"/>
          <w:b/>
          <w:bCs/>
          <w:color w:val="000000"/>
          <w:sz w:val="22"/>
          <w:lang w:eastAsia="it-IT"/>
        </w:rPr>
        <w:t>IN NOME DEL POPOLO ITALIANO</w:t>
      </w:r>
    </w:p>
    <w:p w:rsidR="007455C2" w:rsidRPr="007455C2" w:rsidRDefault="007455C2" w:rsidP="007455C2">
      <w:pPr>
        <w:spacing w:before="100" w:beforeAutospacing="1" w:after="100" w:afterAutospacing="1"/>
        <w:jc w:val="center"/>
        <w:rPr>
          <w:rFonts w:ascii="Garamond" w:eastAsia="Times New Roman" w:hAnsi="Garamond" w:cs="Times New Roman"/>
          <w:b/>
          <w:bCs/>
          <w:color w:val="000000"/>
          <w:sz w:val="26"/>
          <w:szCs w:val="26"/>
          <w:lang w:eastAsia="it-IT"/>
        </w:rPr>
      </w:pPr>
      <w:r w:rsidRPr="007455C2">
        <w:rPr>
          <w:rFonts w:ascii="Garamond" w:eastAsia="Times New Roman" w:hAnsi="Garamond" w:cs="Times New Roman"/>
          <w:b/>
          <w:bCs/>
          <w:color w:val="000000"/>
          <w:sz w:val="26"/>
          <w:szCs w:val="26"/>
          <w:lang w:eastAsia="it-IT"/>
        </w:rPr>
        <w:t>Il Consiglio di Stato</w:t>
      </w:r>
    </w:p>
    <w:p w:rsidR="007455C2" w:rsidRPr="007455C2" w:rsidRDefault="007455C2" w:rsidP="007455C2">
      <w:pPr>
        <w:spacing w:before="100" w:beforeAutospacing="1" w:after="100" w:afterAutospacing="1"/>
        <w:jc w:val="center"/>
        <w:rPr>
          <w:rFonts w:ascii="Garamond" w:eastAsia="Times New Roman" w:hAnsi="Garamond" w:cs="Times New Roman"/>
          <w:b/>
          <w:bCs/>
          <w:color w:val="000000"/>
          <w:sz w:val="26"/>
          <w:szCs w:val="26"/>
          <w:lang w:eastAsia="it-IT"/>
        </w:rPr>
      </w:pPr>
      <w:proofErr w:type="gramStart"/>
      <w:r w:rsidRPr="007455C2">
        <w:rPr>
          <w:rFonts w:ascii="Garamond" w:eastAsia="Times New Roman" w:hAnsi="Garamond" w:cs="Times New Roman"/>
          <w:b/>
          <w:bCs/>
          <w:color w:val="000000"/>
          <w:sz w:val="26"/>
          <w:szCs w:val="26"/>
          <w:lang w:eastAsia="it-IT"/>
        </w:rPr>
        <w:t>in</w:t>
      </w:r>
      <w:proofErr w:type="gramEnd"/>
      <w:r w:rsidRPr="007455C2">
        <w:rPr>
          <w:rFonts w:ascii="Garamond" w:eastAsia="Times New Roman" w:hAnsi="Garamond" w:cs="Times New Roman"/>
          <w:b/>
          <w:bCs/>
          <w:color w:val="000000"/>
          <w:sz w:val="26"/>
          <w:szCs w:val="26"/>
          <w:lang w:eastAsia="it-IT"/>
        </w:rPr>
        <w:t xml:space="preserve"> sede giurisdizionale (Sezione Quinta)</w:t>
      </w:r>
    </w:p>
    <w:p w:rsidR="007455C2" w:rsidRPr="007455C2" w:rsidRDefault="007455C2" w:rsidP="007455C2">
      <w:pPr>
        <w:spacing w:line="520" w:lineRule="atLeast"/>
        <w:ind w:firstLine="567"/>
        <w:jc w:val="lef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t>ha</w:t>
      </w:r>
      <w:proofErr w:type="gramEnd"/>
      <w:r w:rsidRPr="007455C2">
        <w:rPr>
          <w:rFonts w:ascii="Garamond" w:eastAsia="Times New Roman" w:hAnsi="Garamond" w:cs="Times New Roman"/>
          <w:color w:val="000000"/>
          <w:sz w:val="30"/>
          <w:szCs w:val="30"/>
          <w:lang w:eastAsia="it-IT"/>
        </w:rPr>
        <w:t xml:space="preserve"> pronunciato la presente</w:t>
      </w:r>
    </w:p>
    <w:p w:rsidR="007455C2" w:rsidRPr="007455C2" w:rsidRDefault="007455C2" w:rsidP="007455C2">
      <w:pPr>
        <w:spacing w:before="100" w:beforeAutospacing="1" w:after="100" w:afterAutospacing="1"/>
        <w:jc w:val="center"/>
        <w:rPr>
          <w:rFonts w:ascii="Garamond" w:eastAsia="Times New Roman" w:hAnsi="Garamond" w:cs="Times New Roman"/>
          <w:b/>
          <w:bCs/>
          <w:color w:val="000000"/>
          <w:sz w:val="26"/>
          <w:szCs w:val="26"/>
          <w:lang w:eastAsia="it-IT"/>
        </w:rPr>
      </w:pPr>
      <w:r w:rsidRPr="007455C2">
        <w:rPr>
          <w:rFonts w:ascii="Garamond" w:eastAsia="Times New Roman" w:hAnsi="Garamond" w:cs="Times New Roman"/>
          <w:b/>
          <w:bCs/>
          <w:color w:val="000000"/>
          <w:sz w:val="26"/>
          <w:szCs w:val="26"/>
          <w:lang w:eastAsia="it-IT"/>
        </w:rPr>
        <w:t>SENTENZA</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t>sul</w:t>
      </w:r>
      <w:proofErr w:type="gramEnd"/>
      <w:r w:rsidRPr="007455C2">
        <w:rPr>
          <w:rFonts w:ascii="Garamond" w:eastAsia="Times New Roman" w:hAnsi="Garamond" w:cs="Times New Roman"/>
          <w:color w:val="000000"/>
          <w:sz w:val="30"/>
          <w:szCs w:val="30"/>
          <w:lang w:eastAsia="it-IT"/>
        </w:rPr>
        <w:t xml:space="preserve"> ricorso numero di registro generale 9207 del 2018, proposto da </w:t>
      </w:r>
      <w:r w:rsidRPr="007455C2">
        <w:rPr>
          <w:rFonts w:ascii="Garamond" w:eastAsia="Times New Roman" w:hAnsi="Garamond" w:cs="Times New Roman"/>
          <w:color w:val="000000"/>
          <w:sz w:val="30"/>
          <w:szCs w:val="30"/>
          <w:lang w:eastAsia="it-IT"/>
        </w:rPr>
        <w:br/>
        <w:t>Fusione S.r.l., in persona del legale rappresentante </w:t>
      </w:r>
      <w:r w:rsidRPr="007455C2">
        <w:rPr>
          <w:rFonts w:ascii="Garamond" w:eastAsia="Times New Roman" w:hAnsi="Garamond" w:cs="Times New Roman"/>
          <w:i/>
          <w:iCs/>
          <w:color w:val="000000"/>
          <w:sz w:val="30"/>
          <w:szCs w:val="30"/>
          <w:lang w:eastAsia="it-IT"/>
        </w:rPr>
        <w:t>pro tempore</w:t>
      </w:r>
      <w:r w:rsidRPr="007455C2">
        <w:rPr>
          <w:rFonts w:ascii="Garamond" w:eastAsia="Times New Roman" w:hAnsi="Garamond" w:cs="Times New Roman"/>
          <w:color w:val="000000"/>
          <w:sz w:val="30"/>
          <w:szCs w:val="30"/>
          <w:lang w:eastAsia="it-IT"/>
        </w:rPr>
        <w:t>, rappresentata e difesa dall'avvocato Elisabetta Di Matteo, con domicilio digitale come da PEC da Registri di Giustizia; </w:t>
      </w:r>
    </w:p>
    <w:p w:rsidR="007455C2" w:rsidRPr="007455C2" w:rsidRDefault="007455C2" w:rsidP="007455C2">
      <w:pPr>
        <w:spacing w:line="520" w:lineRule="atLeast"/>
        <w:jc w:val="center"/>
        <w:rPr>
          <w:rFonts w:ascii="Garamond" w:eastAsia="Times New Roman" w:hAnsi="Garamond" w:cs="Times New Roman"/>
          <w:b/>
          <w:bCs/>
          <w:i/>
          <w:iCs/>
          <w:color w:val="000000"/>
          <w:sz w:val="30"/>
          <w:szCs w:val="30"/>
          <w:lang w:eastAsia="it-IT"/>
        </w:rPr>
      </w:pPr>
      <w:proofErr w:type="gramStart"/>
      <w:r w:rsidRPr="007455C2">
        <w:rPr>
          <w:rFonts w:ascii="Garamond" w:eastAsia="Times New Roman" w:hAnsi="Garamond" w:cs="Times New Roman"/>
          <w:b/>
          <w:bCs/>
          <w:i/>
          <w:iCs/>
          <w:color w:val="000000"/>
          <w:sz w:val="30"/>
          <w:szCs w:val="30"/>
          <w:lang w:eastAsia="it-IT"/>
        </w:rPr>
        <w:t>contro</w:t>
      </w:r>
      <w:proofErr w:type="gramEnd"/>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Comune di Como, in persona del Sindaco </w:t>
      </w:r>
      <w:r w:rsidRPr="007455C2">
        <w:rPr>
          <w:rFonts w:ascii="Garamond" w:eastAsia="Times New Roman" w:hAnsi="Garamond" w:cs="Times New Roman"/>
          <w:i/>
          <w:iCs/>
          <w:color w:val="000000"/>
          <w:sz w:val="30"/>
          <w:szCs w:val="30"/>
          <w:lang w:eastAsia="it-IT"/>
        </w:rPr>
        <w:t>pro tempore</w:t>
      </w:r>
      <w:r w:rsidRPr="007455C2">
        <w:rPr>
          <w:rFonts w:ascii="Garamond" w:eastAsia="Times New Roman" w:hAnsi="Garamond" w:cs="Times New Roman"/>
          <w:color w:val="000000"/>
          <w:sz w:val="30"/>
          <w:szCs w:val="30"/>
          <w:lang w:eastAsia="it-IT"/>
        </w:rPr>
        <w:t>, rappresentato e difeso dall'avvocato Marina Ceresa, con domicilio digitale come da PEC da Registri di Giustizia e domicilio eletto presso lo studio Andrea Manzi in Roma, via Confalonieri n. 5; </w:t>
      </w:r>
    </w:p>
    <w:p w:rsidR="007455C2" w:rsidRPr="007455C2" w:rsidRDefault="007455C2" w:rsidP="007455C2">
      <w:pPr>
        <w:spacing w:line="520" w:lineRule="atLeast"/>
        <w:jc w:val="center"/>
        <w:rPr>
          <w:rFonts w:ascii="Garamond" w:eastAsia="Times New Roman" w:hAnsi="Garamond" w:cs="Times New Roman"/>
          <w:b/>
          <w:bCs/>
          <w:i/>
          <w:iCs/>
          <w:color w:val="000000"/>
          <w:sz w:val="30"/>
          <w:szCs w:val="30"/>
          <w:lang w:eastAsia="it-IT"/>
        </w:rPr>
      </w:pPr>
      <w:proofErr w:type="gramStart"/>
      <w:r w:rsidRPr="007455C2">
        <w:rPr>
          <w:rFonts w:ascii="Garamond" w:eastAsia="Times New Roman" w:hAnsi="Garamond" w:cs="Times New Roman"/>
          <w:b/>
          <w:bCs/>
          <w:i/>
          <w:iCs/>
          <w:color w:val="000000"/>
          <w:sz w:val="30"/>
          <w:szCs w:val="30"/>
          <w:lang w:eastAsia="it-IT"/>
        </w:rPr>
        <w:t>nei</w:t>
      </w:r>
      <w:proofErr w:type="gramEnd"/>
      <w:r w:rsidRPr="007455C2">
        <w:rPr>
          <w:rFonts w:ascii="Garamond" w:eastAsia="Times New Roman" w:hAnsi="Garamond" w:cs="Times New Roman"/>
          <w:b/>
          <w:bCs/>
          <w:i/>
          <w:iCs/>
          <w:color w:val="000000"/>
          <w:sz w:val="30"/>
          <w:szCs w:val="30"/>
          <w:lang w:eastAsia="it-IT"/>
        </w:rPr>
        <w:t xml:space="preserve"> confronti</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Gusto S.r.l., in persona del legale rappresentante </w:t>
      </w:r>
      <w:r w:rsidRPr="007455C2">
        <w:rPr>
          <w:rFonts w:ascii="Garamond" w:eastAsia="Times New Roman" w:hAnsi="Garamond" w:cs="Times New Roman"/>
          <w:i/>
          <w:iCs/>
          <w:color w:val="000000"/>
          <w:sz w:val="30"/>
          <w:szCs w:val="30"/>
          <w:lang w:eastAsia="it-IT"/>
        </w:rPr>
        <w:t>pro tempore</w:t>
      </w:r>
      <w:r w:rsidRPr="007455C2">
        <w:rPr>
          <w:rFonts w:ascii="Garamond" w:eastAsia="Times New Roman" w:hAnsi="Garamond" w:cs="Times New Roman"/>
          <w:color w:val="000000"/>
          <w:sz w:val="30"/>
          <w:szCs w:val="30"/>
          <w:lang w:eastAsia="it-IT"/>
        </w:rPr>
        <w:t>, rappresentata e difesa dagli avvocati Mario e Francesca Minella, con domicilio digitale come da PEC da Registri di Giustizia; </w:t>
      </w:r>
      <w:r w:rsidRPr="007455C2">
        <w:rPr>
          <w:rFonts w:ascii="Garamond" w:eastAsia="Times New Roman" w:hAnsi="Garamond" w:cs="Times New Roman"/>
          <w:color w:val="000000"/>
          <w:sz w:val="30"/>
          <w:szCs w:val="30"/>
          <w:lang w:eastAsia="it-IT"/>
        </w:rPr>
        <w:br/>
      </w:r>
      <w:proofErr w:type="spellStart"/>
      <w:r w:rsidRPr="007455C2">
        <w:rPr>
          <w:rFonts w:ascii="Garamond" w:eastAsia="Times New Roman" w:hAnsi="Garamond" w:cs="Times New Roman"/>
          <w:color w:val="000000"/>
          <w:sz w:val="30"/>
          <w:szCs w:val="30"/>
          <w:lang w:eastAsia="it-IT"/>
        </w:rPr>
        <w:t>Maiemi</w:t>
      </w:r>
      <w:proofErr w:type="spellEnd"/>
      <w:r w:rsidRPr="007455C2">
        <w:rPr>
          <w:rFonts w:ascii="Garamond" w:eastAsia="Times New Roman" w:hAnsi="Garamond" w:cs="Times New Roman"/>
          <w:color w:val="000000"/>
          <w:sz w:val="30"/>
          <w:szCs w:val="30"/>
          <w:lang w:eastAsia="it-IT"/>
        </w:rPr>
        <w:t xml:space="preserve"> </w:t>
      </w:r>
      <w:proofErr w:type="gramStart"/>
      <w:r w:rsidRPr="007455C2">
        <w:rPr>
          <w:rFonts w:ascii="Garamond" w:eastAsia="Times New Roman" w:hAnsi="Garamond" w:cs="Times New Roman"/>
          <w:color w:val="000000"/>
          <w:sz w:val="30"/>
          <w:szCs w:val="30"/>
          <w:lang w:eastAsia="it-IT"/>
        </w:rPr>
        <w:t>S.r.l,.</w:t>
      </w:r>
      <w:proofErr w:type="gramEnd"/>
      <w:r w:rsidRPr="007455C2">
        <w:rPr>
          <w:rFonts w:ascii="Garamond" w:eastAsia="Times New Roman" w:hAnsi="Garamond" w:cs="Times New Roman"/>
          <w:color w:val="000000"/>
          <w:sz w:val="30"/>
          <w:szCs w:val="30"/>
          <w:lang w:eastAsia="it-IT"/>
        </w:rPr>
        <w:t xml:space="preserve"> </w:t>
      </w:r>
      <w:proofErr w:type="gramStart"/>
      <w:r w:rsidRPr="007455C2">
        <w:rPr>
          <w:rFonts w:ascii="Garamond" w:eastAsia="Times New Roman" w:hAnsi="Garamond" w:cs="Times New Roman"/>
          <w:color w:val="000000"/>
          <w:sz w:val="30"/>
          <w:szCs w:val="30"/>
          <w:lang w:eastAsia="it-IT"/>
        </w:rPr>
        <w:t>non</w:t>
      </w:r>
      <w:proofErr w:type="gramEnd"/>
      <w:r w:rsidRPr="007455C2">
        <w:rPr>
          <w:rFonts w:ascii="Garamond" w:eastAsia="Times New Roman" w:hAnsi="Garamond" w:cs="Times New Roman"/>
          <w:color w:val="000000"/>
          <w:sz w:val="30"/>
          <w:szCs w:val="30"/>
          <w:lang w:eastAsia="it-IT"/>
        </w:rPr>
        <w:t xml:space="preserve"> costituita in giudizio; </w:t>
      </w:r>
    </w:p>
    <w:p w:rsidR="007455C2" w:rsidRPr="007455C2" w:rsidRDefault="007455C2" w:rsidP="007455C2">
      <w:pPr>
        <w:spacing w:line="520" w:lineRule="atLeast"/>
        <w:jc w:val="center"/>
        <w:rPr>
          <w:rFonts w:ascii="Garamond" w:eastAsia="Times New Roman" w:hAnsi="Garamond" w:cs="Times New Roman"/>
          <w:b/>
          <w:bCs/>
          <w:i/>
          <w:iCs/>
          <w:color w:val="000000"/>
          <w:sz w:val="30"/>
          <w:szCs w:val="30"/>
          <w:lang w:eastAsia="it-IT"/>
        </w:rPr>
      </w:pPr>
      <w:proofErr w:type="gramStart"/>
      <w:r w:rsidRPr="007455C2">
        <w:rPr>
          <w:rFonts w:ascii="Garamond" w:eastAsia="Times New Roman" w:hAnsi="Garamond" w:cs="Times New Roman"/>
          <w:b/>
          <w:bCs/>
          <w:i/>
          <w:iCs/>
          <w:color w:val="000000"/>
          <w:sz w:val="30"/>
          <w:szCs w:val="30"/>
          <w:lang w:eastAsia="it-IT"/>
        </w:rPr>
        <w:t>per</w:t>
      </w:r>
      <w:proofErr w:type="gramEnd"/>
      <w:r w:rsidRPr="007455C2">
        <w:rPr>
          <w:rFonts w:ascii="Garamond" w:eastAsia="Times New Roman" w:hAnsi="Garamond" w:cs="Times New Roman"/>
          <w:b/>
          <w:bCs/>
          <w:i/>
          <w:iCs/>
          <w:color w:val="000000"/>
          <w:sz w:val="30"/>
          <w:szCs w:val="30"/>
          <w:lang w:eastAsia="it-IT"/>
        </w:rPr>
        <w:t xml:space="preserve"> la riforma</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lastRenderedPageBreak/>
        <w:t>della</w:t>
      </w:r>
      <w:proofErr w:type="gramEnd"/>
      <w:r w:rsidRPr="007455C2">
        <w:rPr>
          <w:rFonts w:ascii="Garamond" w:eastAsia="Times New Roman" w:hAnsi="Garamond" w:cs="Times New Roman"/>
          <w:color w:val="000000"/>
          <w:sz w:val="30"/>
          <w:szCs w:val="30"/>
          <w:lang w:eastAsia="it-IT"/>
        </w:rPr>
        <w:t xml:space="preserve"> sentenza breve del T.A.R. Lombardia – Milano, Sez. IV n. 2447/2018, resa tra le parti</w:t>
      </w:r>
    </w:p>
    <w:p w:rsidR="007455C2" w:rsidRPr="007455C2" w:rsidRDefault="007455C2" w:rsidP="007455C2">
      <w:pPr>
        <w:jc w:val="left"/>
        <w:rPr>
          <w:rFonts w:ascii="Times New Roman" w:eastAsia="Times New Roman" w:hAnsi="Times New Roman" w:cs="Times New Roman"/>
          <w:sz w:val="24"/>
          <w:szCs w:val="24"/>
          <w:lang w:eastAsia="it-IT"/>
        </w:rPr>
      </w:pPr>
      <w:r w:rsidRPr="007455C2">
        <w:rPr>
          <w:rFonts w:ascii="Times New Roman" w:eastAsia="Times New Roman" w:hAnsi="Times New Roman" w:cs="Times New Roman"/>
          <w:color w:val="000000"/>
          <w:sz w:val="27"/>
          <w:szCs w:val="27"/>
          <w:lang w:eastAsia="it-IT"/>
        </w:rPr>
        <w:br/>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Visti il ricorso in appello e i relativi allegati;</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Visti gli atti di costituzione in giudizio del Comune di Como e di Gusto S.r.l.;</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Visti tutti gli atti della causa;</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 xml:space="preserve">Relatore nella camera di consiglio del giorno 14 marzo 2019 il </w:t>
      </w:r>
      <w:proofErr w:type="spellStart"/>
      <w:r w:rsidRPr="007455C2">
        <w:rPr>
          <w:rFonts w:ascii="Garamond" w:eastAsia="Times New Roman" w:hAnsi="Garamond" w:cs="Times New Roman"/>
          <w:color w:val="000000"/>
          <w:sz w:val="30"/>
          <w:szCs w:val="30"/>
          <w:lang w:eastAsia="it-IT"/>
        </w:rPr>
        <w:t>Cons</w:t>
      </w:r>
      <w:proofErr w:type="spellEnd"/>
      <w:r w:rsidRPr="007455C2">
        <w:rPr>
          <w:rFonts w:ascii="Garamond" w:eastAsia="Times New Roman" w:hAnsi="Garamond" w:cs="Times New Roman"/>
          <w:color w:val="000000"/>
          <w:sz w:val="30"/>
          <w:szCs w:val="30"/>
          <w:lang w:eastAsia="it-IT"/>
        </w:rPr>
        <w:t>. Giovanni Grasso e uditi per le parti gli avvocati Elia Di Matteo, su delega dell'avvocato Elisabetta Di Matteo, e Andrea Manzi, su delega dell'avvocato Marina Ceresa;</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Ritenuto e considerato in fatto e diritto quanto segue.</w:t>
      </w:r>
    </w:p>
    <w:p w:rsidR="007455C2" w:rsidRPr="007455C2" w:rsidRDefault="007455C2" w:rsidP="007455C2">
      <w:pPr>
        <w:jc w:val="left"/>
        <w:rPr>
          <w:rFonts w:ascii="Times New Roman" w:eastAsia="Times New Roman" w:hAnsi="Times New Roman" w:cs="Times New Roman"/>
          <w:sz w:val="24"/>
          <w:szCs w:val="24"/>
          <w:lang w:eastAsia="it-IT"/>
        </w:rPr>
      </w:pPr>
      <w:r w:rsidRPr="007455C2">
        <w:rPr>
          <w:rFonts w:ascii="Times New Roman" w:eastAsia="Times New Roman" w:hAnsi="Times New Roman" w:cs="Times New Roman"/>
          <w:color w:val="000000"/>
          <w:sz w:val="27"/>
          <w:szCs w:val="27"/>
          <w:lang w:eastAsia="it-IT"/>
        </w:rPr>
        <w:br/>
      </w:r>
    </w:p>
    <w:p w:rsidR="007455C2" w:rsidRPr="007455C2" w:rsidRDefault="007455C2" w:rsidP="007455C2">
      <w:pPr>
        <w:spacing w:line="540" w:lineRule="atLeast"/>
        <w:jc w:val="center"/>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FATTO</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t>1.-</w:t>
      </w:r>
      <w:proofErr w:type="gramEnd"/>
      <w:r w:rsidRPr="007455C2">
        <w:rPr>
          <w:rFonts w:ascii="Garamond" w:eastAsia="Times New Roman" w:hAnsi="Garamond" w:cs="Times New Roman"/>
          <w:color w:val="000000"/>
          <w:sz w:val="30"/>
          <w:szCs w:val="30"/>
          <w:lang w:eastAsia="it-IT"/>
        </w:rPr>
        <w:t xml:space="preserve"> Il Comune di Como avviava un pubblico incanto per la locazione dell’unità immobiliare, di sua proprietà, con destinazione a bar/ristorante, sita in via Cesare Cantù n. 53/55.</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Con rituale ricorso dinanzi al TAR per la Lombardia – sede di Milano, la società Fusione s.r.l., già titolare di contratto di locazione ad uso commerciale per l’unità di cui è causa, impugnava l’avviso d’asta e gli atti di gara (ivi compresa la propria esclusione dalla procedura), lamentandone l’illegittimità sotto vari profili ed invocandone la caducazione.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t>2.-</w:t>
      </w:r>
      <w:proofErr w:type="gramEnd"/>
      <w:r w:rsidRPr="007455C2">
        <w:rPr>
          <w:rFonts w:ascii="Garamond" w:eastAsia="Times New Roman" w:hAnsi="Garamond" w:cs="Times New Roman"/>
          <w:color w:val="000000"/>
          <w:sz w:val="30"/>
          <w:szCs w:val="30"/>
          <w:lang w:eastAsia="it-IT"/>
        </w:rPr>
        <w:t xml:space="preserve"> Nella resistenza della intimata Amministrazione e della </w:t>
      </w:r>
      <w:proofErr w:type="spellStart"/>
      <w:r w:rsidRPr="007455C2">
        <w:rPr>
          <w:rFonts w:ascii="Garamond" w:eastAsia="Times New Roman" w:hAnsi="Garamond" w:cs="Times New Roman"/>
          <w:color w:val="000000"/>
          <w:sz w:val="30"/>
          <w:szCs w:val="30"/>
          <w:lang w:eastAsia="it-IT"/>
        </w:rPr>
        <w:t>controinteressata</w:t>
      </w:r>
      <w:proofErr w:type="spellEnd"/>
      <w:r w:rsidRPr="007455C2">
        <w:rPr>
          <w:rFonts w:ascii="Garamond" w:eastAsia="Times New Roman" w:hAnsi="Garamond" w:cs="Times New Roman"/>
          <w:color w:val="000000"/>
          <w:sz w:val="30"/>
          <w:szCs w:val="30"/>
          <w:lang w:eastAsia="it-IT"/>
        </w:rPr>
        <w:t xml:space="preserve"> Gusto s.r.l., aggiudicataria della gara, con la sentenza </w:t>
      </w:r>
      <w:proofErr w:type="spellStart"/>
      <w:r w:rsidRPr="007455C2">
        <w:rPr>
          <w:rFonts w:ascii="Garamond" w:eastAsia="Times New Roman" w:hAnsi="Garamond" w:cs="Times New Roman"/>
          <w:color w:val="000000"/>
          <w:sz w:val="30"/>
          <w:szCs w:val="30"/>
          <w:lang w:eastAsia="it-IT"/>
        </w:rPr>
        <w:t>epigrafata</w:t>
      </w:r>
      <w:proofErr w:type="spellEnd"/>
      <w:r w:rsidRPr="007455C2">
        <w:rPr>
          <w:rFonts w:ascii="Garamond" w:eastAsia="Times New Roman" w:hAnsi="Garamond" w:cs="Times New Roman"/>
          <w:color w:val="000000"/>
          <w:sz w:val="30"/>
          <w:szCs w:val="30"/>
          <w:lang w:eastAsia="it-IT"/>
        </w:rPr>
        <w:t xml:space="preserve"> il primo giudice dichiarava inammissibile il ricorso per ritenuto difetto di giurisdizione, condannando altresì la ricorrente (in pedissequa applicazione dell’ordinario canone della soccombenza e a dispetto della obiettiva opinabilità della questione pregiudiziale di rito) alla refusione delle spese e delle competenze di lite.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lastRenderedPageBreak/>
        <w:t>3.-</w:t>
      </w:r>
      <w:proofErr w:type="gramEnd"/>
      <w:r w:rsidRPr="007455C2">
        <w:rPr>
          <w:rFonts w:ascii="Garamond" w:eastAsia="Times New Roman" w:hAnsi="Garamond" w:cs="Times New Roman"/>
          <w:color w:val="000000"/>
          <w:sz w:val="30"/>
          <w:szCs w:val="30"/>
          <w:lang w:eastAsia="it-IT"/>
        </w:rPr>
        <w:t xml:space="preserve"> Con atto proposto nei tempi e nelle forme di rito, l’appellante si duole della erroneità e dell’ingiustizia della ridetta statuizione, di cui invoca l’integrale riforma, con conseguente accoglimento delle assorbite ragioni di doglianza, </w:t>
      </w:r>
      <w:proofErr w:type="spellStart"/>
      <w:r w:rsidRPr="007455C2">
        <w:rPr>
          <w:rFonts w:ascii="Garamond" w:eastAsia="Times New Roman" w:hAnsi="Garamond" w:cs="Times New Roman"/>
          <w:color w:val="000000"/>
          <w:sz w:val="30"/>
          <w:szCs w:val="30"/>
          <w:lang w:eastAsia="it-IT"/>
        </w:rPr>
        <w:t>reiterativamente</w:t>
      </w:r>
      <w:proofErr w:type="spellEnd"/>
      <w:r w:rsidRPr="007455C2">
        <w:rPr>
          <w:rFonts w:ascii="Garamond" w:eastAsia="Times New Roman" w:hAnsi="Garamond" w:cs="Times New Roman"/>
          <w:color w:val="000000"/>
          <w:sz w:val="30"/>
          <w:szCs w:val="30"/>
          <w:lang w:eastAsia="it-IT"/>
        </w:rPr>
        <w:t xml:space="preserve"> </w:t>
      </w:r>
      <w:proofErr w:type="spellStart"/>
      <w:r w:rsidRPr="007455C2">
        <w:rPr>
          <w:rFonts w:ascii="Garamond" w:eastAsia="Times New Roman" w:hAnsi="Garamond" w:cs="Times New Roman"/>
          <w:color w:val="000000"/>
          <w:sz w:val="30"/>
          <w:szCs w:val="30"/>
          <w:lang w:eastAsia="it-IT"/>
        </w:rPr>
        <w:t>dovolute</w:t>
      </w:r>
      <w:proofErr w:type="spellEnd"/>
      <w:r w:rsidRPr="007455C2">
        <w:rPr>
          <w:rFonts w:ascii="Garamond" w:eastAsia="Times New Roman" w:hAnsi="Garamond" w:cs="Times New Roman"/>
          <w:color w:val="000000"/>
          <w:sz w:val="30"/>
          <w:szCs w:val="30"/>
          <w:lang w:eastAsia="it-IT"/>
        </w:rPr>
        <w:t xml:space="preserve"> in seconde cure, ovvero, in via subordinata, con rimessione della causa al primo giudice.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t>4.-</w:t>
      </w:r>
      <w:proofErr w:type="gramEnd"/>
      <w:r w:rsidRPr="007455C2">
        <w:rPr>
          <w:rFonts w:ascii="Garamond" w:eastAsia="Times New Roman" w:hAnsi="Garamond" w:cs="Times New Roman"/>
          <w:color w:val="000000"/>
          <w:sz w:val="30"/>
          <w:szCs w:val="30"/>
          <w:lang w:eastAsia="it-IT"/>
        </w:rPr>
        <w:t xml:space="preserve"> Si costituivano in giudizio, per resistere al gravame, il Comune di Como e la società Gusto s.r.l.</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Alla camera di consiglio del 14 marzo 2019, sulle reiterate conclusioni dei difensori delle parti costituite, la causa veniva riservata per la decisione.</w:t>
      </w:r>
    </w:p>
    <w:p w:rsidR="007455C2" w:rsidRPr="007455C2" w:rsidRDefault="007455C2" w:rsidP="007455C2">
      <w:pPr>
        <w:spacing w:line="540" w:lineRule="atLeast"/>
        <w:jc w:val="center"/>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DIRITTO</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t>1.-</w:t>
      </w:r>
      <w:proofErr w:type="gramEnd"/>
      <w:r w:rsidRPr="007455C2">
        <w:rPr>
          <w:rFonts w:ascii="Garamond" w:eastAsia="Times New Roman" w:hAnsi="Garamond" w:cs="Times New Roman"/>
          <w:color w:val="000000"/>
          <w:sz w:val="30"/>
          <w:szCs w:val="30"/>
          <w:lang w:eastAsia="it-IT"/>
        </w:rPr>
        <w:t xml:space="preserve"> L’appello è fondato e, nei sensi e con gli effetti di cui alle considerazioni che seguono, merita di essere accolto.</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t>2.-</w:t>
      </w:r>
      <w:proofErr w:type="gramEnd"/>
      <w:r w:rsidRPr="007455C2">
        <w:rPr>
          <w:rFonts w:ascii="Garamond" w:eastAsia="Times New Roman" w:hAnsi="Garamond" w:cs="Times New Roman"/>
          <w:color w:val="000000"/>
          <w:sz w:val="30"/>
          <w:szCs w:val="30"/>
          <w:lang w:eastAsia="it-IT"/>
        </w:rPr>
        <w:t xml:space="preserve"> Osserva in premessa il Collegio che l’impugnata sentenza ha argomentato l’insussistenza della giurisdizione amministrativa, in relazione alla controversia in esame, sul plurimo e concorrente assunto per cui:</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a</w:t>
      </w:r>
      <w:r w:rsidRPr="007455C2">
        <w:rPr>
          <w:rFonts w:ascii="Garamond" w:eastAsia="Times New Roman" w:hAnsi="Garamond" w:cs="Times New Roman"/>
          <w:color w:val="000000"/>
          <w:sz w:val="30"/>
          <w:szCs w:val="30"/>
          <w:lang w:eastAsia="it-IT"/>
        </w:rPr>
        <w:t>) la procedura evidenziale avviata dal Comune era finalizzata alla stipulazione di un contratto di locazione ad uso commerciale, soggetto esclusivamente al regime del diritto privato ed in particolare alla legge n. 392/1978;</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b</w:t>
      </w:r>
      <w:r w:rsidRPr="007455C2">
        <w:rPr>
          <w:rFonts w:ascii="Garamond" w:eastAsia="Times New Roman" w:hAnsi="Garamond" w:cs="Times New Roman"/>
          <w:color w:val="000000"/>
          <w:sz w:val="30"/>
          <w:szCs w:val="30"/>
          <w:lang w:eastAsia="it-IT"/>
        </w:rPr>
        <w:t>) l’unità immobiliare interessata dal programmato assetto negoziale apparteneva al patrimonio disponibile del Comune (trattandosi, con ciò, di beni pubblici in senso esclusivamente soggettivo, preordinati ad atti dispositivi a regime privatistico, finalizzati alla mera percezione di reddito);</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c</w:t>
      </w:r>
      <w:r w:rsidRPr="007455C2">
        <w:rPr>
          <w:rFonts w:ascii="Garamond" w:eastAsia="Times New Roman" w:hAnsi="Garamond" w:cs="Times New Roman"/>
          <w:color w:val="000000"/>
          <w:sz w:val="30"/>
          <w:szCs w:val="30"/>
          <w:lang w:eastAsia="it-IT"/>
        </w:rPr>
        <w:t>) la procedura concorsuale volta ad individuare il conduttore del bene non costituiva manifestazione di potere autoritativo (a fronte della quale il partecipante alla gara potesse vantare un interesse legittimo), bensì di attività paritetica nei confronti degli operatori commerciali, eventualmente titolari di situazioni di diritto soggettivo “pieno”;</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lastRenderedPageBreak/>
        <w:t>d</w:t>
      </w:r>
      <w:r w:rsidRPr="007455C2">
        <w:rPr>
          <w:rFonts w:ascii="Garamond" w:eastAsia="Times New Roman" w:hAnsi="Garamond" w:cs="Times New Roman"/>
          <w:color w:val="000000"/>
          <w:sz w:val="30"/>
          <w:szCs w:val="30"/>
          <w:lang w:eastAsia="it-IT"/>
        </w:rPr>
        <w:t xml:space="preserve">) la circostanza che la scelta del contraente avvenisse con una procedura di carattere concorrenziale (nel rispetto della normativa </w:t>
      </w:r>
      <w:proofErr w:type="spellStart"/>
      <w:r w:rsidRPr="007455C2">
        <w:rPr>
          <w:rFonts w:ascii="Garamond" w:eastAsia="Times New Roman" w:hAnsi="Garamond" w:cs="Times New Roman"/>
          <w:color w:val="000000"/>
          <w:sz w:val="30"/>
          <w:szCs w:val="30"/>
          <w:lang w:eastAsia="it-IT"/>
        </w:rPr>
        <w:t>contabilistica</w:t>
      </w:r>
      <w:proofErr w:type="spellEnd"/>
      <w:r w:rsidRPr="007455C2">
        <w:rPr>
          <w:rFonts w:ascii="Garamond" w:eastAsia="Times New Roman" w:hAnsi="Garamond" w:cs="Times New Roman"/>
          <w:color w:val="000000"/>
          <w:sz w:val="30"/>
          <w:szCs w:val="30"/>
          <w:lang w:eastAsia="it-IT"/>
        </w:rPr>
        <w:t xml:space="preserve"> di cui al RD n. 827 del 1924) era funzionale a garantire il rispetto dei generali principi di buon andamento e di imparzialità dell’azione amministrativa, ma era idonea ad immutare (la natura dell’attività ed il pedissequo) regime della giurisdizione;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e</w:t>
      </w:r>
      <w:r w:rsidRPr="007455C2">
        <w:rPr>
          <w:rFonts w:ascii="Garamond" w:eastAsia="Times New Roman" w:hAnsi="Garamond" w:cs="Times New Roman"/>
          <w:color w:val="000000"/>
          <w:sz w:val="30"/>
          <w:szCs w:val="30"/>
          <w:lang w:eastAsia="it-IT"/>
        </w:rPr>
        <w:t>) del resto – con più specifico riguardo alla </w:t>
      </w:r>
      <w:r w:rsidRPr="007455C2">
        <w:rPr>
          <w:rFonts w:ascii="Garamond" w:eastAsia="Times New Roman" w:hAnsi="Garamond" w:cs="Times New Roman"/>
          <w:i/>
          <w:iCs/>
          <w:color w:val="000000"/>
          <w:sz w:val="30"/>
          <w:szCs w:val="30"/>
          <w:lang w:eastAsia="it-IT"/>
        </w:rPr>
        <w:t xml:space="preserve">causa </w:t>
      </w:r>
      <w:proofErr w:type="spellStart"/>
      <w:r w:rsidRPr="007455C2">
        <w:rPr>
          <w:rFonts w:ascii="Garamond" w:eastAsia="Times New Roman" w:hAnsi="Garamond" w:cs="Times New Roman"/>
          <w:i/>
          <w:iCs/>
          <w:color w:val="000000"/>
          <w:sz w:val="30"/>
          <w:szCs w:val="30"/>
          <w:lang w:eastAsia="it-IT"/>
        </w:rPr>
        <w:t>petendi</w:t>
      </w:r>
      <w:proofErr w:type="spellEnd"/>
      <w:r w:rsidRPr="007455C2">
        <w:rPr>
          <w:rFonts w:ascii="Garamond" w:eastAsia="Times New Roman" w:hAnsi="Garamond" w:cs="Times New Roman"/>
          <w:i/>
          <w:iCs/>
          <w:color w:val="000000"/>
          <w:sz w:val="30"/>
          <w:szCs w:val="30"/>
          <w:lang w:eastAsia="it-IT"/>
        </w:rPr>
        <w:t> </w:t>
      </w:r>
      <w:r w:rsidRPr="007455C2">
        <w:rPr>
          <w:rFonts w:ascii="Garamond" w:eastAsia="Times New Roman" w:hAnsi="Garamond" w:cs="Times New Roman"/>
          <w:color w:val="000000"/>
          <w:sz w:val="30"/>
          <w:szCs w:val="30"/>
          <w:lang w:eastAsia="it-IT"/>
        </w:rPr>
        <w:t>relativa alla vicenda concretamente all’esame – la società ricorrente aveva essenzialmente lamentato la violazione del proprio valorizzato diritto di prelazione e il pregiudizio del diritto all’indennità per la perdita dell’avviamento, previsti rispettivamente dall’art. 40 e dell’art. 34 della legge n. 392/1978, cioè a dire, di nuovo, di situazioni di diritto soggettivo pieno, come tali rimesse, per comune intendimento, alla giurisdizione del giudice ordinario.</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t>3.-</w:t>
      </w:r>
      <w:proofErr w:type="gramEnd"/>
      <w:r w:rsidRPr="007455C2">
        <w:rPr>
          <w:rFonts w:ascii="Garamond" w:eastAsia="Times New Roman" w:hAnsi="Garamond" w:cs="Times New Roman"/>
          <w:color w:val="000000"/>
          <w:sz w:val="30"/>
          <w:szCs w:val="30"/>
          <w:lang w:eastAsia="it-IT"/>
        </w:rPr>
        <w:t xml:space="preserve"> Si tratta di argomenti non persuasivi. Vale, inverso, osservare che: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a</w:t>
      </w:r>
      <w:r w:rsidRPr="007455C2">
        <w:rPr>
          <w:rFonts w:ascii="Garamond" w:eastAsia="Times New Roman" w:hAnsi="Garamond" w:cs="Times New Roman"/>
          <w:color w:val="000000"/>
          <w:sz w:val="30"/>
          <w:szCs w:val="30"/>
          <w:lang w:eastAsia="it-IT"/>
        </w:rPr>
        <w:t>) i contratti di locazione attivi (nei quali la pubblica amministrazione concede in godimento a soggetti privati, assumendo le vesti di locatore, un bene immobile nella sua libera disponibilità patrimoniale, al fine di conseguire un reddito dal versamento dei relativi canoni) rientrano tra quelli “</w:t>
      </w:r>
      <w:r w:rsidRPr="007455C2">
        <w:rPr>
          <w:rFonts w:ascii="Garamond" w:eastAsia="Times New Roman" w:hAnsi="Garamond" w:cs="Times New Roman"/>
          <w:i/>
          <w:iCs/>
          <w:color w:val="000000"/>
          <w:sz w:val="30"/>
          <w:szCs w:val="30"/>
          <w:lang w:eastAsia="it-IT"/>
        </w:rPr>
        <w:t>esclusi</w:t>
      </w:r>
      <w:r w:rsidRPr="007455C2">
        <w:rPr>
          <w:rFonts w:ascii="Garamond" w:eastAsia="Times New Roman" w:hAnsi="Garamond" w:cs="Times New Roman"/>
          <w:color w:val="000000"/>
          <w:sz w:val="30"/>
          <w:szCs w:val="30"/>
          <w:lang w:eastAsia="it-IT"/>
        </w:rPr>
        <w:t xml:space="preserve">” dal regime di cui al d. </w:t>
      </w:r>
      <w:proofErr w:type="spellStart"/>
      <w:r w:rsidRPr="007455C2">
        <w:rPr>
          <w:rFonts w:ascii="Garamond" w:eastAsia="Times New Roman" w:hAnsi="Garamond" w:cs="Times New Roman"/>
          <w:color w:val="000000"/>
          <w:sz w:val="30"/>
          <w:szCs w:val="30"/>
          <w:lang w:eastAsia="it-IT"/>
        </w:rPr>
        <w:t>lgs</w:t>
      </w:r>
      <w:proofErr w:type="spellEnd"/>
      <w:r w:rsidRPr="007455C2">
        <w:rPr>
          <w:rFonts w:ascii="Garamond" w:eastAsia="Times New Roman" w:hAnsi="Garamond" w:cs="Times New Roman"/>
          <w:color w:val="000000"/>
          <w:sz w:val="30"/>
          <w:szCs w:val="30"/>
          <w:lang w:eastAsia="it-IT"/>
        </w:rPr>
        <w:t>. n. 50/2016 (</w:t>
      </w:r>
      <w:r w:rsidRPr="007455C2">
        <w:rPr>
          <w:rFonts w:ascii="Garamond" w:eastAsia="Times New Roman" w:hAnsi="Garamond" w:cs="Times New Roman"/>
          <w:i/>
          <w:iCs/>
          <w:color w:val="000000"/>
          <w:sz w:val="30"/>
          <w:szCs w:val="30"/>
          <w:lang w:eastAsia="it-IT"/>
        </w:rPr>
        <w:t>Codice dei contratti pubblici</w:t>
      </w:r>
      <w:r w:rsidRPr="007455C2">
        <w:rPr>
          <w:rFonts w:ascii="Garamond" w:eastAsia="Times New Roman" w:hAnsi="Garamond" w:cs="Times New Roman"/>
          <w:color w:val="000000"/>
          <w:sz w:val="30"/>
          <w:szCs w:val="30"/>
          <w:lang w:eastAsia="it-IT"/>
        </w:rPr>
        <w:t xml:space="preserve">): cfr. art. 17, comma 1 </w:t>
      </w:r>
      <w:proofErr w:type="spellStart"/>
      <w:r w:rsidRPr="007455C2">
        <w:rPr>
          <w:rFonts w:ascii="Garamond" w:eastAsia="Times New Roman" w:hAnsi="Garamond" w:cs="Times New Roman"/>
          <w:color w:val="000000"/>
          <w:sz w:val="30"/>
          <w:szCs w:val="30"/>
          <w:lang w:eastAsia="it-IT"/>
        </w:rPr>
        <w:t>lett</w:t>
      </w:r>
      <w:proofErr w:type="spellEnd"/>
      <w:r w:rsidRPr="007455C2">
        <w:rPr>
          <w:rFonts w:ascii="Garamond" w:eastAsia="Times New Roman" w:hAnsi="Garamond" w:cs="Times New Roman"/>
          <w:color w:val="000000"/>
          <w:sz w:val="30"/>
          <w:szCs w:val="30"/>
          <w:lang w:eastAsia="it-IT"/>
        </w:rPr>
        <w:t>. </w:t>
      </w:r>
      <w:r w:rsidRPr="007455C2">
        <w:rPr>
          <w:rFonts w:ascii="Garamond" w:eastAsia="Times New Roman" w:hAnsi="Garamond" w:cs="Times New Roman"/>
          <w:i/>
          <w:iCs/>
          <w:color w:val="000000"/>
          <w:sz w:val="30"/>
          <w:szCs w:val="30"/>
          <w:lang w:eastAsia="it-IT"/>
        </w:rPr>
        <w:t>a</w:t>
      </w:r>
      <w:r w:rsidRPr="007455C2">
        <w:rPr>
          <w:rFonts w:ascii="Garamond" w:eastAsia="Times New Roman" w:hAnsi="Garamond" w:cs="Times New Roman"/>
          <w:color w:val="000000"/>
          <w:sz w:val="30"/>
          <w:szCs w:val="30"/>
          <w:lang w:eastAsia="it-IT"/>
        </w:rPr>
        <w:t>);</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b</w:t>
      </w:r>
      <w:r w:rsidRPr="007455C2">
        <w:rPr>
          <w:rFonts w:ascii="Garamond" w:eastAsia="Times New Roman" w:hAnsi="Garamond" w:cs="Times New Roman"/>
          <w:color w:val="000000"/>
          <w:sz w:val="30"/>
          <w:szCs w:val="30"/>
          <w:lang w:eastAsia="it-IT"/>
        </w:rPr>
        <w:t>) peraltro, la </w:t>
      </w:r>
      <w:r w:rsidRPr="007455C2">
        <w:rPr>
          <w:rFonts w:ascii="Garamond" w:eastAsia="Times New Roman" w:hAnsi="Garamond" w:cs="Times New Roman"/>
          <w:i/>
          <w:iCs/>
          <w:color w:val="000000"/>
          <w:sz w:val="30"/>
          <w:szCs w:val="30"/>
          <w:lang w:eastAsia="it-IT"/>
        </w:rPr>
        <w:t>ratio </w:t>
      </w:r>
      <w:r w:rsidRPr="007455C2">
        <w:rPr>
          <w:rFonts w:ascii="Garamond" w:eastAsia="Times New Roman" w:hAnsi="Garamond" w:cs="Times New Roman"/>
          <w:color w:val="000000"/>
          <w:sz w:val="30"/>
          <w:szCs w:val="30"/>
          <w:lang w:eastAsia="it-IT"/>
        </w:rPr>
        <w:t xml:space="preserve">di tale esclusione – che vale segnatamente a sottrarli alla puntuale disciplina pubblicistica dei codificati meccanismi evidenziali – rimonta alla sostanziale estraneità delle relative vicende negoziali (in quanto inerenti beni indissolubilmente legati all’ambito territorio di riferimento) agli interessi </w:t>
      </w:r>
      <w:proofErr w:type="spellStart"/>
      <w:r w:rsidRPr="007455C2">
        <w:rPr>
          <w:rFonts w:ascii="Garamond" w:eastAsia="Times New Roman" w:hAnsi="Garamond" w:cs="Times New Roman"/>
          <w:color w:val="000000"/>
          <w:sz w:val="30"/>
          <w:szCs w:val="30"/>
          <w:lang w:eastAsia="it-IT"/>
        </w:rPr>
        <w:t>eurocomuni</w:t>
      </w:r>
      <w:proofErr w:type="spellEnd"/>
      <w:r w:rsidRPr="007455C2">
        <w:rPr>
          <w:rFonts w:ascii="Garamond" w:eastAsia="Times New Roman" w:hAnsi="Garamond" w:cs="Times New Roman"/>
          <w:color w:val="000000"/>
          <w:sz w:val="30"/>
          <w:szCs w:val="30"/>
          <w:lang w:eastAsia="it-IT"/>
        </w:rPr>
        <w:t xml:space="preserve">, incentrati sulla garanzia dell’accesso concorrenziale e non </w:t>
      </w:r>
      <w:proofErr w:type="spellStart"/>
      <w:r w:rsidRPr="007455C2">
        <w:rPr>
          <w:rFonts w:ascii="Garamond" w:eastAsia="Times New Roman" w:hAnsi="Garamond" w:cs="Times New Roman"/>
          <w:color w:val="000000"/>
          <w:sz w:val="30"/>
          <w:szCs w:val="30"/>
          <w:lang w:eastAsia="it-IT"/>
        </w:rPr>
        <w:t>disparitario</w:t>
      </w:r>
      <w:proofErr w:type="spellEnd"/>
      <w:r w:rsidRPr="007455C2">
        <w:rPr>
          <w:rFonts w:ascii="Garamond" w:eastAsia="Times New Roman" w:hAnsi="Garamond" w:cs="Times New Roman"/>
          <w:color w:val="000000"/>
          <w:sz w:val="30"/>
          <w:szCs w:val="30"/>
          <w:lang w:eastAsia="it-IT"/>
        </w:rPr>
        <w:t xml:space="preserve"> alla risorse pubbliche;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c</w:t>
      </w:r>
      <w:r w:rsidRPr="007455C2">
        <w:rPr>
          <w:rFonts w:ascii="Garamond" w:eastAsia="Times New Roman" w:hAnsi="Garamond" w:cs="Times New Roman"/>
          <w:color w:val="000000"/>
          <w:sz w:val="30"/>
          <w:szCs w:val="30"/>
          <w:lang w:eastAsia="it-IT"/>
        </w:rPr>
        <w:t>) nondimeno, trattandosi di contratti bensì “</w:t>
      </w:r>
      <w:r w:rsidRPr="007455C2">
        <w:rPr>
          <w:rFonts w:ascii="Garamond" w:eastAsia="Times New Roman" w:hAnsi="Garamond" w:cs="Times New Roman"/>
          <w:i/>
          <w:iCs/>
          <w:color w:val="000000"/>
          <w:sz w:val="30"/>
          <w:szCs w:val="30"/>
          <w:lang w:eastAsia="it-IT"/>
        </w:rPr>
        <w:t>esclusi</w:t>
      </w:r>
      <w:r w:rsidRPr="007455C2">
        <w:rPr>
          <w:rFonts w:ascii="Garamond" w:eastAsia="Times New Roman" w:hAnsi="Garamond" w:cs="Times New Roman"/>
          <w:color w:val="000000"/>
          <w:sz w:val="30"/>
          <w:szCs w:val="30"/>
          <w:lang w:eastAsia="it-IT"/>
        </w:rPr>
        <w:t>” ma non “</w:t>
      </w:r>
      <w:r w:rsidRPr="007455C2">
        <w:rPr>
          <w:rFonts w:ascii="Garamond" w:eastAsia="Times New Roman" w:hAnsi="Garamond" w:cs="Times New Roman"/>
          <w:i/>
          <w:iCs/>
          <w:color w:val="000000"/>
          <w:sz w:val="30"/>
          <w:szCs w:val="30"/>
          <w:lang w:eastAsia="it-IT"/>
        </w:rPr>
        <w:t>estranei</w:t>
      </w:r>
      <w:r w:rsidRPr="007455C2">
        <w:rPr>
          <w:rFonts w:ascii="Garamond" w:eastAsia="Times New Roman" w:hAnsi="Garamond" w:cs="Times New Roman"/>
          <w:color w:val="000000"/>
          <w:sz w:val="30"/>
          <w:szCs w:val="30"/>
          <w:lang w:eastAsia="it-IT"/>
        </w:rPr>
        <w:t xml:space="preserve">”, in quanto nominativamente individuati dal Codice sia pure per sottrarli alla puntuale e dettagliata disciplina codificata (cfr. </w:t>
      </w:r>
      <w:proofErr w:type="spellStart"/>
      <w:r w:rsidRPr="007455C2">
        <w:rPr>
          <w:rFonts w:ascii="Garamond" w:eastAsia="Times New Roman" w:hAnsi="Garamond" w:cs="Times New Roman"/>
          <w:color w:val="000000"/>
          <w:sz w:val="30"/>
          <w:szCs w:val="30"/>
          <w:lang w:eastAsia="it-IT"/>
        </w:rPr>
        <w:t>Cons</w:t>
      </w:r>
      <w:proofErr w:type="spellEnd"/>
      <w:r w:rsidRPr="007455C2">
        <w:rPr>
          <w:rFonts w:ascii="Garamond" w:eastAsia="Times New Roman" w:hAnsi="Garamond" w:cs="Times New Roman"/>
          <w:color w:val="000000"/>
          <w:sz w:val="30"/>
          <w:szCs w:val="30"/>
          <w:lang w:eastAsia="it-IT"/>
        </w:rPr>
        <w:t xml:space="preserve">. Stato, ad. </w:t>
      </w:r>
      <w:proofErr w:type="spellStart"/>
      <w:r w:rsidRPr="007455C2">
        <w:rPr>
          <w:rFonts w:ascii="Garamond" w:eastAsia="Times New Roman" w:hAnsi="Garamond" w:cs="Times New Roman"/>
          <w:color w:val="000000"/>
          <w:sz w:val="30"/>
          <w:szCs w:val="30"/>
          <w:lang w:eastAsia="it-IT"/>
        </w:rPr>
        <w:t>plen</w:t>
      </w:r>
      <w:proofErr w:type="spellEnd"/>
      <w:r w:rsidRPr="007455C2">
        <w:rPr>
          <w:rFonts w:ascii="Garamond" w:eastAsia="Times New Roman" w:hAnsi="Garamond" w:cs="Times New Roman"/>
          <w:color w:val="000000"/>
          <w:sz w:val="30"/>
          <w:szCs w:val="30"/>
          <w:lang w:eastAsia="it-IT"/>
        </w:rPr>
        <w:t xml:space="preserve">., 1° agosto 2011, n. 16), il </w:t>
      </w:r>
      <w:r w:rsidRPr="007455C2">
        <w:rPr>
          <w:rFonts w:ascii="Garamond" w:eastAsia="Times New Roman" w:hAnsi="Garamond" w:cs="Times New Roman"/>
          <w:color w:val="000000"/>
          <w:sz w:val="30"/>
          <w:szCs w:val="30"/>
          <w:lang w:eastAsia="it-IT"/>
        </w:rPr>
        <w:lastRenderedPageBreak/>
        <w:t>loro “</w:t>
      </w:r>
      <w:r w:rsidRPr="007455C2">
        <w:rPr>
          <w:rFonts w:ascii="Garamond" w:eastAsia="Times New Roman" w:hAnsi="Garamond" w:cs="Times New Roman"/>
          <w:i/>
          <w:iCs/>
          <w:color w:val="000000"/>
          <w:sz w:val="30"/>
          <w:szCs w:val="30"/>
          <w:lang w:eastAsia="it-IT"/>
        </w:rPr>
        <w:t>affidamento</w:t>
      </w:r>
      <w:r w:rsidRPr="007455C2">
        <w:rPr>
          <w:rFonts w:ascii="Garamond" w:eastAsia="Times New Roman" w:hAnsi="Garamond" w:cs="Times New Roman"/>
          <w:color w:val="000000"/>
          <w:sz w:val="30"/>
          <w:szCs w:val="30"/>
          <w:lang w:eastAsia="it-IT"/>
        </w:rPr>
        <w:t>” deve comunque avvenire “</w:t>
      </w:r>
      <w:r w:rsidRPr="007455C2">
        <w:rPr>
          <w:rFonts w:ascii="Garamond" w:eastAsia="Times New Roman" w:hAnsi="Garamond" w:cs="Times New Roman"/>
          <w:i/>
          <w:iCs/>
          <w:color w:val="000000"/>
          <w:sz w:val="30"/>
          <w:szCs w:val="30"/>
          <w:lang w:eastAsia="it-IT"/>
        </w:rPr>
        <w:t>nel rispetto dei principi di economicità, efficacia, imparzialità, parità di trattamento, trasparenza, proporzionalità, pubblicità</w:t>
      </w:r>
      <w:r w:rsidRPr="007455C2">
        <w:rPr>
          <w:rFonts w:ascii="Garamond" w:eastAsia="Times New Roman" w:hAnsi="Garamond" w:cs="Times New Roman"/>
          <w:color w:val="000000"/>
          <w:sz w:val="30"/>
          <w:szCs w:val="30"/>
          <w:lang w:eastAsia="it-IT"/>
        </w:rPr>
        <w:t>” (oltreché dei canoni di “</w:t>
      </w:r>
      <w:r w:rsidRPr="007455C2">
        <w:rPr>
          <w:rFonts w:ascii="Garamond" w:eastAsia="Times New Roman" w:hAnsi="Garamond" w:cs="Times New Roman"/>
          <w:i/>
          <w:iCs/>
          <w:color w:val="000000"/>
          <w:sz w:val="30"/>
          <w:szCs w:val="30"/>
          <w:lang w:eastAsia="it-IT"/>
        </w:rPr>
        <w:t>tutela dell’ambiente ed efficienza energetica</w:t>
      </w:r>
      <w:r w:rsidRPr="007455C2">
        <w:rPr>
          <w:rFonts w:ascii="Garamond" w:eastAsia="Times New Roman" w:hAnsi="Garamond" w:cs="Times New Roman"/>
          <w:color w:val="000000"/>
          <w:sz w:val="30"/>
          <w:szCs w:val="30"/>
          <w:lang w:eastAsia="it-IT"/>
        </w:rPr>
        <w:t xml:space="preserve">”), che declinano, specificano e conformano – con segnato riguardo alla materia negoziale – il generale statuto dell’azione amministrativa, in quanto preordinata alla salvaguardia e valorizzazione di interessi pubblici (art. 1 l. n. 241/1990): cfr. art. 4 d. </w:t>
      </w:r>
      <w:proofErr w:type="spellStart"/>
      <w:r w:rsidRPr="007455C2">
        <w:rPr>
          <w:rFonts w:ascii="Garamond" w:eastAsia="Times New Roman" w:hAnsi="Garamond" w:cs="Times New Roman"/>
          <w:color w:val="000000"/>
          <w:sz w:val="30"/>
          <w:szCs w:val="30"/>
          <w:lang w:eastAsia="it-IT"/>
        </w:rPr>
        <w:t>lgs</w:t>
      </w:r>
      <w:proofErr w:type="spellEnd"/>
      <w:r w:rsidRPr="007455C2">
        <w:rPr>
          <w:rFonts w:ascii="Garamond" w:eastAsia="Times New Roman" w:hAnsi="Garamond" w:cs="Times New Roman"/>
          <w:color w:val="000000"/>
          <w:sz w:val="30"/>
          <w:szCs w:val="30"/>
          <w:lang w:eastAsia="it-IT"/>
        </w:rPr>
        <w:t>. n. 50/2016;</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d</w:t>
      </w:r>
      <w:r w:rsidRPr="007455C2">
        <w:rPr>
          <w:rFonts w:ascii="Garamond" w:eastAsia="Times New Roman" w:hAnsi="Garamond" w:cs="Times New Roman"/>
          <w:color w:val="000000"/>
          <w:sz w:val="30"/>
          <w:szCs w:val="30"/>
          <w:lang w:eastAsia="it-IT"/>
        </w:rPr>
        <w:t xml:space="preserve">) in tale prospettiva, l’art. 5 del d. </w:t>
      </w:r>
      <w:proofErr w:type="spellStart"/>
      <w:r w:rsidRPr="007455C2">
        <w:rPr>
          <w:rFonts w:ascii="Garamond" w:eastAsia="Times New Roman" w:hAnsi="Garamond" w:cs="Times New Roman"/>
          <w:color w:val="000000"/>
          <w:sz w:val="30"/>
          <w:szCs w:val="30"/>
          <w:lang w:eastAsia="it-IT"/>
        </w:rPr>
        <w:t>lgs</w:t>
      </w:r>
      <w:proofErr w:type="spellEnd"/>
      <w:r w:rsidRPr="007455C2">
        <w:rPr>
          <w:rFonts w:ascii="Garamond" w:eastAsia="Times New Roman" w:hAnsi="Garamond" w:cs="Times New Roman"/>
          <w:color w:val="000000"/>
          <w:sz w:val="30"/>
          <w:szCs w:val="30"/>
          <w:lang w:eastAsia="it-IT"/>
        </w:rPr>
        <w:t>. 19 aprile 2017, n. 56 (recante il correttivo al </w:t>
      </w:r>
      <w:r w:rsidRPr="007455C2">
        <w:rPr>
          <w:rFonts w:ascii="Garamond" w:eastAsia="Times New Roman" w:hAnsi="Garamond" w:cs="Times New Roman"/>
          <w:i/>
          <w:iCs/>
          <w:color w:val="000000"/>
          <w:sz w:val="30"/>
          <w:szCs w:val="30"/>
          <w:lang w:eastAsia="it-IT"/>
        </w:rPr>
        <w:t>Codice</w:t>
      </w:r>
      <w:r w:rsidRPr="007455C2">
        <w:rPr>
          <w:rFonts w:ascii="Garamond" w:eastAsia="Times New Roman" w:hAnsi="Garamond" w:cs="Times New Roman"/>
          <w:color w:val="000000"/>
          <w:sz w:val="30"/>
          <w:szCs w:val="30"/>
          <w:lang w:eastAsia="it-IT"/>
        </w:rPr>
        <w:t>), ha provveduto ad inserirli comprensivamente (ed esplicitamente) nel corpo dell’art. 4, che quei principi individua e rende operativi;</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e</w:t>
      </w:r>
      <w:r w:rsidRPr="007455C2">
        <w:rPr>
          <w:rFonts w:ascii="Garamond" w:eastAsia="Times New Roman" w:hAnsi="Garamond" w:cs="Times New Roman"/>
          <w:color w:val="000000"/>
          <w:sz w:val="30"/>
          <w:szCs w:val="30"/>
          <w:lang w:eastAsia="it-IT"/>
        </w:rPr>
        <w:t xml:space="preserve">) di conserva, essi sono necessariamente assoggettati ad un regime (minimale, ma necessario) di regole evidenziali, a tutela dell’accesso paritario e concorrenziale degli interessati: che, in difetto di disciplina di specie, è desumibile dalla residuale normativa </w:t>
      </w:r>
      <w:proofErr w:type="spellStart"/>
      <w:r w:rsidRPr="007455C2">
        <w:rPr>
          <w:rFonts w:ascii="Garamond" w:eastAsia="Times New Roman" w:hAnsi="Garamond" w:cs="Times New Roman"/>
          <w:color w:val="000000"/>
          <w:sz w:val="30"/>
          <w:szCs w:val="30"/>
          <w:lang w:eastAsia="it-IT"/>
        </w:rPr>
        <w:t>contabilistica</w:t>
      </w:r>
      <w:proofErr w:type="spellEnd"/>
      <w:r w:rsidRPr="007455C2">
        <w:rPr>
          <w:rFonts w:ascii="Garamond" w:eastAsia="Times New Roman" w:hAnsi="Garamond" w:cs="Times New Roman"/>
          <w:color w:val="000000"/>
          <w:sz w:val="30"/>
          <w:szCs w:val="30"/>
          <w:lang w:eastAsia="it-IT"/>
        </w:rPr>
        <w:t xml:space="preserve"> (</w:t>
      </w:r>
      <w:proofErr w:type="spellStart"/>
      <w:r w:rsidRPr="007455C2">
        <w:rPr>
          <w:rFonts w:ascii="Garamond" w:eastAsia="Times New Roman" w:hAnsi="Garamond" w:cs="Times New Roman"/>
          <w:color w:val="000000"/>
          <w:sz w:val="30"/>
          <w:szCs w:val="30"/>
          <w:lang w:eastAsia="it-IT"/>
        </w:rPr>
        <w:t>r.d.</w:t>
      </w:r>
      <w:proofErr w:type="spellEnd"/>
      <w:r w:rsidRPr="007455C2">
        <w:rPr>
          <w:rFonts w:ascii="Garamond" w:eastAsia="Times New Roman" w:hAnsi="Garamond" w:cs="Times New Roman"/>
          <w:color w:val="000000"/>
          <w:sz w:val="30"/>
          <w:szCs w:val="30"/>
          <w:lang w:eastAsia="it-IT"/>
        </w:rPr>
        <w:t xml:space="preserve"> 18 novembre 1923, n. 2440), che a sua volta informa tutta la contrattualità degli enti pubblici (per gli enti locali, cfr. art. 192 d. </w:t>
      </w:r>
      <w:proofErr w:type="spellStart"/>
      <w:r w:rsidRPr="007455C2">
        <w:rPr>
          <w:rFonts w:ascii="Garamond" w:eastAsia="Times New Roman" w:hAnsi="Garamond" w:cs="Times New Roman"/>
          <w:color w:val="000000"/>
          <w:sz w:val="30"/>
          <w:szCs w:val="30"/>
          <w:lang w:eastAsia="it-IT"/>
        </w:rPr>
        <w:t>lgs</w:t>
      </w:r>
      <w:proofErr w:type="spellEnd"/>
      <w:r w:rsidRPr="007455C2">
        <w:rPr>
          <w:rFonts w:ascii="Garamond" w:eastAsia="Times New Roman" w:hAnsi="Garamond" w:cs="Times New Roman"/>
          <w:color w:val="000000"/>
          <w:sz w:val="30"/>
          <w:szCs w:val="30"/>
          <w:lang w:eastAsia="it-IT"/>
        </w:rPr>
        <w:t>. n. 267/2000) e rende eccezionale, anche per i contratti da cui derivino entrate, il ricorso alla trattativa privata;</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f</w:t>
      </w:r>
      <w:r w:rsidRPr="007455C2">
        <w:rPr>
          <w:rFonts w:ascii="Garamond" w:eastAsia="Times New Roman" w:hAnsi="Garamond" w:cs="Times New Roman"/>
          <w:color w:val="000000"/>
          <w:sz w:val="30"/>
          <w:szCs w:val="30"/>
          <w:lang w:eastAsia="it-IT"/>
        </w:rPr>
        <w:t>) ai fini in questione, il regime di appartenenza dominicale che ne autorizza la libera “messa a reddito” nelle forme privatistiche dei contratti di godimento (</w:t>
      </w:r>
      <w:proofErr w:type="spellStart"/>
      <w:r w:rsidRPr="007455C2">
        <w:rPr>
          <w:rFonts w:ascii="Garamond" w:eastAsia="Times New Roman" w:hAnsi="Garamond" w:cs="Times New Roman"/>
          <w:i/>
          <w:iCs/>
          <w:color w:val="000000"/>
          <w:sz w:val="30"/>
          <w:szCs w:val="30"/>
          <w:lang w:eastAsia="it-IT"/>
        </w:rPr>
        <w:t>arg</w:t>
      </w:r>
      <w:proofErr w:type="spellEnd"/>
      <w:r w:rsidRPr="007455C2">
        <w:rPr>
          <w:rFonts w:ascii="Garamond" w:eastAsia="Times New Roman" w:hAnsi="Garamond" w:cs="Times New Roman"/>
          <w:i/>
          <w:iCs/>
          <w:color w:val="000000"/>
          <w:sz w:val="30"/>
          <w:szCs w:val="30"/>
          <w:lang w:eastAsia="it-IT"/>
        </w:rPr>
        <w:t xml:space="preserve">. </w:t>
      </w:r>
      <w:proofErr w:type="gramStart"/>
      <w:r w:rsidRPr="007455C2">
        <w:rPr>
          <w:rFonts w:ascii="Garamond" w:eastAsia="Times New Roman" w:hAnsi="Garamond" w:cs="Times New Roman"/>
          <w:i/>
          <w:iCs/>
          <w:color w:val="000000"/>
          <w:sz w:val="30"/>
          <w:szCs w:val="30"/>
          <w:lang w:eastAsia="it-IT"/>
        </w:rPr>
        <w:t>a</w:t>
      </w:r>
      <w:proofErr w:type="gramEnd"/>
      <w:r w:rsidRPr="007455C2">
        <w:rPr>
          <w:rFonts w:ascii="Garamond" w:eastAsia="Times New Roman" w:hAnsi="Garamond" w:cs="Times New Roman"/>
          <w:i/>
          <w:iCs/>
          <w:color w:val="000000"/>
          <w:sz w:val="30"/>
          <w:szCs w:val="30"/>
          <w:lang w:eastAsia="it-IT"/>
        </w:rPr>
        <w:t xml:space="preserve"> contrario ex </w:t>
      </w:r>
      <w:r w:rsidRPr="007455C2">
        <w:rPr>
          <w:rFonts w:ascii="Garamond" w:eastAsia="Times New Roman" w:hAnsi="Garamond" w:cs="Times New Roman"/>
          <w:color w:val="000000"/>
          <w:sz w:val="30"/>
          <w:szCs w:val="30"/>
          <w:lang w:eastAsia="it-IT"/>
        </w:rPr>
        <w:t>artt. 826 e 828 c.c., per i beni del patrimonio c.d. disponibile, che ne qualifica il profilo pubblicistico nell’esclusivo senso soggettivo della titolarità, in assenza di destinazione “</w:t>
      </w:r>
      <w:r w:rsidRPr="007455C2">
        <w:rPr>
          <w:rFonts w:ascii="Garamond" w:eastAsia="Times New Roman" w:hAnsi="Garamond" w:cs="Times New Roman"/>
          <w:i/>
          <w:iCs/>
          <w:color w:val="000000"/>
          <w:sz w:val="30"/>
          <w:szCs w:val="30"/>
          <w:lang w:eastAsia="it-IT"/>
        </w:rPr>
        <w:t>a un pubblico servizio</w:t>
      </w:r>
      <w:r w:rsidRPr="007455C2">
        <w:rPr>
          <w:rFonts w:ascii="Garamond" w:eastAsia="Times New Roman" w:hAnsi="Garamond" w:cs="Times New Roman"/>
          <w:color w:val="000000"/>
          <w:sz w:val="30"/>
          <w:szCs w:val="30"/>
          <w:lang w:eastAsia="it-IT"/>
        </w:rPr>
        <w:t xml:space="preserve">”), non vale a sottrarli, avuto segnatamente riguardo alle modalità di alienazione o di concessione, alle ridette regole evidenziali </w:t>
      </w:r>
      <w:proofErr w:type="spellStart"/>
      <w:r w:rsidRPr="007455C2">
        <w:rPr>
          <w:rFonts w:ascii="Garamond" w:eastAsia="Times New Roman" w:hAnsi="Garamond" w:cs="Times New Roman"/>
          <w:color w:val="000000"/>
          <w:sz w:val="30"/>
          <w:szCs w:val="30"/>
          <w:lang w:eastAsia="it-IT"/>
        </w:rPr>
        <w:t>proponcorrenziali</w:t>
      </w:r>
      <w:proofErr w:type="spellEnd"/>
      <w:r w:rsidRPr="007455C2">
        <w:rPr>
          <w:rFonts w:ascii="Garamond" w:eastAsia="Times New Roman" w:hAnsi="Garamond" w:cs="Times New Roman"/>
          <w:color w:val="000000"/>
          <w:sz w:val="30"/>
          <w:szCs w:val="30"/>
          <w:lang w:eastAsia="it-IT"/>
        </w:rPr>
        <w:t xml:space="preserve"> ed ai meccanismi di contabilizzazione;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g</w:t>
      </w:r>
      <w:r w:rsidRPr="007455C2">
        <w:rPr>
          <w:rFonts w:ascii="Garamond" w:eastAsia="Times New Roman" w:hAnsi="Garamond" w:cs="Times New Roman"/>
          <w:color w:val="000000"/>
          <w:sz w:val="30"/>
          <w:szCs w:val="30"/>
          <w:lang w:eastAsia="it-IT"/>
        </w:rPr>
        <w:t>) per tal via, la “fase pubblicistica” preordinata alla selezione concorsuale del contraente privato vale a strutturare la relativa azione amministrativa in termini di attività propriamente </w:t>
      </w:r>
      <w:r w:rsidRPr="007455C2">
        <w:rPr>
          <w:rFonts w:ascii="Garamond" w:eastAsia="Times New Roman" w:hAnsi="Garamond" w:cs="Times New Roman"/>
          <w:i/>
          <w:iCs/>
          <w:color w:val="000000"/>
          <w:sz w:val="30"/>
          <w:szCs w:val="30"/>
          <w:lang w:eastAsia="it-IT"/>
        </w:rPr>
        <w:t>autoritativa </w:t>
      </w:r>
      <w:r w:rsidRPr="007455C2">
        <w:rPr>
          <w:rFonts w:ascii="Garamond" w:eastAsia="Times New Roman" w:hAnsi="Garamond" w:cs="Times New Roman"/>
          <w:color w:val="000000"/>
          <w:sz w:val="30"/>
          <w:szCs w:val="30"/>
          <w:lang w:eastAsia="it-IT"/>
        </w:rPr>
        <w:t>(</w:t>
      </w:r>
      <w:proofErr w:type="spellStart"/>
      <w:r w:rsidRPr="007455C2">
        <w:rPr>
          <w:rFonts w:ascii="Garamond" w:eastAsia="Times New Roman" w:hAnsi="Garamond" w:cs="Times New Roman"/>
          <w:i/>
          <w:iCs/>
          <w:color w:val="000000"/>
          <w:sz w:val="30"/>
          <w:szCs w:val="30"/>
          <w:lang w:eastAsia="it-IT"/>
        </w:rPr>
        <w:t>arg</w:t>
      </w:r>
      <w:proofErr w:type="spellEnd"/>
      <w:r w:rsidRPr="007455C2">
        <w:rPr>
          <w:rFonts w:ascii="Garamond" w:eastAsia="Times New Roman" w:hAnsi="Garamond" w:cs="Times New Roman"/>
          <w:i/>
          <w:iCs/>
          <w:color w:val="000000"/>
          <w:sz w:val="30"/>
          <w:szCs w:val="30"/>
          <w:lang w:eastAsia="it-IT"/>
        </w:rPr>
        <w:t xml:space="preserve">. </w:t>
      </w:r>
      <w:proofErr w:type="gramStart"/>
      <w:r w:rsidRPr="007455C2">
        <w:rPr>
          <w:rFonts w:ascii="Garamond" w:eastAsia="Times New Roman" w:hAnsi="Garamond" w:cs="Times New Roman"/>
          <w:i/>
          <w:iCs/>
          <w:color w:val="000000"/>
          <w:sz w:val="30"/>
          <w:szCs w:val="30"/>
          <w:lang w:eastAsia="it-IT"/>
        </w:rPr>
        <w:t>ex</w:t>
      </w:r>
      <w:proofErr w:type="gramEnd"/>
      <w:r w:rsidRPr="007455C2">
        <w:rPr>
          <w:rFonts w:ascii="Garamond" w:eastAsia="Times New Roman" w:hAnsi="Garamond" w:cs="Times New Roman"/>
          <w:i/>
          <w:iCs/>
          <w:color w:val="000000"/>
          <w:sz w:val="30"/>
          <w:szCs w:val="30"/>
          <w:lang w:eastAsia="it-IT"/>
        </w:rPr>
        <w:t> </w:t>
      </w:r>
      <w:r w:rsidRPr="007455C2">
        <w:rPr>
          <w:rFonts w:ascii="Garamond" w:eastAsia="Times New Roman" w:hAnsi="Garamond" w:cs="Times New Roman"/>
          <w:color w:val="000000"/>
          <w:sz w:val="30"/>
          <w:szCs w:val="30"/>
          <w:lang w:eastAsia="it-IT"/>
        </w:rPr>
        <w:t>art.1 l. n. 241/1990), a fronte della quale i concorrenti vantano situazioni soggettive di </w:t>
      </w:r>
      <w:r w:rsidRPr="007455C2">
        <w:rPr>
          <w:rFonts w:ascii="Garamond" w:eastAsia="Times New Roman" w:hAnsi="Garamond" w:cs="Times New Roman"/>
          <w:i/>
          <w:iCs/>
          <w:color w:val="000000"/>
          <w:sz w:val="30"/>
          <w:szCs w:val="30"/>
          <w:lang w:eastAsia="it-IT"/>
        </w:rPr>
        <w:t>interesse legittimo </w:t>
      </w:r>
      <w:r w:rsidRPr="007455C2">
        <w:rPr>
          <w:rFonts w:ascii="Garamond" w:eastAsia="Times New Roman" w:hAnsi="Garamond" w:cs="Times New Roman"/>
          <w:color w:val="000000"/>
          <w:sz w:val="30"/>
          <w:szCs w:val="30"/>
          <w:lang w:eastAsia="it-IT"/>
        </w:rPr>
        <w:t xml:space="preserve">(non potendo vantare </w:t>
      </w:r>
      <w:r w:rsidRPr="007455C2">
        <w:rPr>
          <w:rFonts w:ascii="Garamond" w:eastAsia="Times New Roman" w:hAnsi="Garamond" w:cs="Times New Roman"/>
          <w:color w:val="000000"/>
          <w:sz w:val="30"/>
          <w:szCs w:val="30"/>
          <w:lang w:eastAsia="it-IT"/>
        </w:rPr>
        <w:lastRenderedPageBreak/>
        <w:t>pretese incondizionate alla stipula del contratto), idonee ad attivare la giurisdizione del giudice amministrativo (</w:t>
      </w:r>
      <w:proofErr w:type="spellStart"/>
      <w:r w:rsidRPr="007455C2">
        <w:rPr>
          <w:rFonts w:ascii="Garamond" w:eastAsia="Times New Roman" w:hAnsi="Garamond" w:cs="Times New Roman"/>
          <w:i/>
          <w:iCs/>
          <w:color w:val="000000"/>
          <w:sz w:val="30"/>
          <w:szCs w:val="30"/>
          <w:lang w:eastAsia="it-IT"/>
        </w:rPr>
        <w:t>arg</w:t>
      </w:r>
      <w:proofErr w:type="spellEnd"/>
      <w:r w:rsidRPr="007455C2">
        <w:rPr>
          <w:rFonts w:ascii="Garamond" w:eastAsia="Times New Roman" w:hAnsi="Garamond" w:cs="Times New Roman"/>
          <w:i/>
          <w:iCs/>
          <w:color w:val="000000"/>
          <w:sz w:val="30"/>
          <w:szCs w:val="30"/>
          <w:lang w:eastAsia="it-IT"/>
        </w:rPr>
        <w:t xml:space="preserve">. </w:t>
      </w:r>
      <w:proofErr w:type="spellStart"/>
      <w:proofErr w:type="gramStart"/>
      <w:r w:rsidRPr="007455C2">
        <w:rPr>
          <w:rFonts w:ascii="Garamond" w:eastAsia="Times New Roman" w:hAnsi="Garamond" w:cs="Times New Roman"/>
          <w:i/>
          <w:iCs/>
          <w:color w:val="000000"/>
          <w:sz w:val="30"/>
          <w:szCs w:val="30"/>
          <w:lang w:eastAsia="it-IT"/>
        </w:rPr>
        <w:t>etiam</w:t>
      </w:r>
      <w:proofErr w:type="spellEnd"/>
      <w:proofErr w:type="gramEnd"/>
      <w:r w:rsidRPr="007455C2">
        <w:rPr>
          <w:rFonts w:ascii="Garamond" w:eastAsia="Times New Roman" w:hAnsi="Garamond" w:cs="Times New Roman"/>
          <w:i/>
          <w:iCs/>
          <w:color w:val="000000"/>
          <w:sz w:val="30"/>
          <w:szCs w:val="30"/>
          <w:lang w:eastAsia="it-IT"/>
        </w:rPr>
        <w:t xml:space="preserve"> ex </w:t>
      </w:r>
      <w:r w:rsidRPr="007455C2">
        <w:rPr>
          <w:rFonts w:ascii="Garamond" w:eastAsia="Times New Roman" w:hAnsi="Garamond" w:cs="Times New Roman"/>
          <w:color w:val="000000"/>
          <w:sz w:val="30"/>
          <w:szCs w:val="30"/>
          <w:lang w:eastAsia="it-IT"/>
        </w:rPr>
        <w:t xml:space="preserve">art. 133, comma 1, </w:t>
      </w:r>
      <w:proofErr w:type="spellStart"/>
      <w:r w:rsidRPr="007455C2">
        <w:rPr>
          <w:rFonts w:ascii="Garamond" w:eastAsia="Times New Roman" w:hAnsi="Garamond" w:cs="Times New Roman"/>
          <w:color w:val="000000"/>
          <w:sz w:val="30"/>
          <w:szCs w:val="30"/>
          <w:lang w:eastAsia="it-IT"/>
        </w:rPr>
        <w:t>lett</w:t>
      </w:r>
      <w:proofErr w:type="spellEnd"/>
      <w:r w:rsidRPr="007455C2">
        <w:rPr>
          <w:rFonts w:ascii="Garamond" w:eastAsia="Times New Roman" w:hAnsi="Garamond" w:cs="Times New Roman"/>
          <w:color w:val="000000"/>
          <w:sz w:val="30"/>
          <w:szCs w:val="30"/>
          <w:lang w:eastAsia="it-IT"/>
        </w:rPr>
        <w:t>. </w:t>
      </w:r>
      <w:r w:rsidRPr="007455C2">
        <w:rPr>
          <w:rFonts w:ascii="Garamond" w:eastAsia="Times New Roman" w:hAnsi="Garamond" w:cs="Times New Roman"/>
          <w:i/>
          <w:iCs/>
          <w:color w:val="000000"/>
          <w:sz w:val="30"/>
          <w:szCs w:val="30"/>
          <w:lang w:eastAsia="it-IT"/>
        </w:rPr>
        <w:t>e</w:t>
      </w:r>
      <w:r w:rsidRPr="007455C2">
        <w:rPr>
          <w:rFonts w:ascii="Garamond" w:eastAsia="Times New Roman" w:hAnsi="Garamond" w:cs="Times New Roman"/>
          <w:color w:val="000000"/>
          <w:sz w:val="30"/>
          <w:szCs w:val="30"/>
          <w:lang w:eastAsia="it-IT"/>
        </w:rPr>
        <w:t>), che peraltro prefigura una ipotesi di giurisdizione esclusiva, non estensibile fuori dei casi espressamente codificati, in relazione alla situazione dei concorrenti comechessia assoggettati alle procedure evidenziali normativamente imposte);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i/>
          <w:iCs/>
          <w:color w:val="000000"/>
          <w:sz w:val="30"/>
          <w:szCs w:val="30"/>
          <w:lang w:eastAsia="it-IT"/>
        </w:rPr>
        <w:t>i</w:t>
      </w:r>
      <w:r w:rsidRPr="007455C2">
        <w:rPr>
          <w:rFonts w:ascii="Garamond" w:eastAsia="Times New Roman" w:hAnsi="Garamond" w:cs="Times New Roman"/>
          <w:color w:val="000000"/>
          <w:sz w:val="30"/>
          <w:szCs w:val="30"/>
          <w:lang w:eastAsia="it-IT"/>
        </w:rPr>
        <w:t xml:space="preserve">) a siffatto ordine di principi è, del resto, ispirata la prevalente giurisprudenza amministrativa (cfr., per tutte, </w:t>
      </w:r>
      <w:proofErr w:type="spellStart"/>
      <w:r w:rsidRPr="007455C2">
        <w:rPr>
          <w:rFonts w:ascii="Garamond" w:eastAsia="Times New Roman" w:hAnsi="Garamond" w:cs="Times New Roman"/>
          <w:color w:val="000000"/>
          <w:sz w:val="30"/>
          <w:szCs w:val="30"/>
          <w:lang w:eastAsia="it-IT"/>
        </w:rPr>
        <w:t>Cons</w:t>
      </w:r>
      <w:proofErr w:type="spellEnd"/>
      <w:r w:rsidRPr="007455C2">
        <w:rPr>
          <w:rFonts w:ascii="Garamond" w:eastAsia="Times New Roman" w:hAnsi="Garamond" w:cs="Times New Roman"/>
          <w:color w:val="000000"/>
          <w:sz w:val="30"/>
          <w:szCs w:val="30"/>
          <w:lang w:eastAsia="it-IT"/>
        </w:rPr>
        <w:t>. Stato, sez. V, 31 agosto 2015, n. 4036), secondo cui “</w:t>
      </w:r>
      <w:r w:rsidRPr="007455C2">
        <w:rPr>
          <w:rFonts w:ascii="Garamond" w:eastAsia="Times New Roman" w:hAnsi="Garamond" w:cs="Times New Roman"/>
          <w:i/>
          <w:iCs/>
          <w:color w:val="000000"/>
          <w:sz w:val="30"/>
          <w:szCs w:val="30"/>
          <w:lang w:eastAsia="it-IT"/>
        </w:rPr>
        <w:t xml:space="preserve">l'amministrazione - sebbene non sottoposta per i contratti di locazione alla disciplina contenuta nel </w:t>
      </w:r>
      <w:proofErr w:type="spellStart"/>
      <w:r w:rsidRPr="007455C2">
        <w:rPr>
          <w:rFonts w:ascii="Garamond" w:eastAsia="Times New Roman" w:hAnsi="Garamond" w:cs="Times New Roman"/>
          <w:i/>
          <w:iCs/>
          <w:color w:val="000000"/>
          <w:sz w:val="30"/>
          <w:szCs w:val="30"/>
          <w:lang w:eastAsia="it-IT"/>
        </w:rPr>
        <w:t>d.leg</w:t>
      </w:r>
      <w:proofErr w:type="spellEnd"/>
      <w:r w:rsidRPr="007455C2">
        <w:rPr>
          <w:rFonts w:ascii="Garamond" w:eastAsia="Times New Roman" w:hAnsi="Garamond" w:cs="Times New Roman"/>
          <w:i/>
          <w:iCs/>
          <w:color w:val="000000"/>
          <w:sz w:val="30"/>
          <w:szCs w:val="30"/>
          <w:lang w:eastAsia="it-IT"/>
        </w:rPr>
        <w:t>. 163/2006</w:t>
      </w:r>
      <w:r w:rsidRPr="007455C2">
        <w:rPr>
          <w:rFonts w:ascii="Garamond" w:eastAsia="Times New Roman" w:hAnsi="Garamond" w:cs="Times New Roman"/>
          <w:color w:val="000000"/>
          <w:sz w:val="30"/>
          <w:szCs w:val="30"/>
          <w:lang w:eastAsia="it-IT"/>
        </w:rPr>
        <w:t xml:space="preserve"> [cfr., oggi, peraltro, il già richiamato art. 4 d. </w:t>
      </w:r>
      <w:proofErr w:type="spellStart"/>
      <w:r w:rsidRPr="007455C2">
        <w:rPr>
          <w:rFonts w:ascii="Garamond" w:eastAsia="Times New Roman" w:hAnsi="Garamond" w:cs="Times New Roman"/>
          <w:color w:val="000000"/>
          <w:sz w:val="30"/>
          <w:szCs w:val="30"/>
          <w:lang w:eastAsia="it-IT"/>
        </w:rPr>
        <w:t>lgs</w:t>
      </w:r>
      <w:proofErr w:type="spellEnd"/>
      <w:r w:rsidRPr="007455C2">
        <w:rPr>
          <w:rFonts w:ascii="Garamond" w:eastAsia="Times New Roman" w:hAnsi="Garamond" w:cs="Times New Roman"/>
          <w:color w:val="000000"/>
          <w:sz w:val="30"/>
          <w:szCs w:val="30"/>
          <w:lang w:eastAsia="it-IT"/>
        </w:rPr>
        <w:t>. n. 50/2016, che coonesta e rafforza le conclusioni] </w:t>
      </w:r>
      <w:r w:rsidRPr="007455C2">
        <w:rPr>
          <w:rFonts w:ascii="Garamond" w:eastAsia="Times New Roman" w:hAnsi="Garamond" w:cs="Times New Roman"/>
          <w:i/>
          <w:iCs/>
          <w:color w:val="000000"/>
          <w:sz w:val="30"/>
          <w:szCs w:val="30"/>
          <w:lang w:eastAsia="it-IT"/>
        </w:rPr>
        <w:t xml:space="preserve">- è comunque sottoposta alle norme di contabilità di stato, che impongono di regola l'adozione di procedimenti pubblicistici per i negozi da cui derivi una spesa, con conseguente radicamento della giurisdizione generale di legittimità del </w:t>
      </w:r>
      <w:proofErr w:type="spellStart"/>
      <w:r w:rsidRPr="007455C2">
        <w:rPr>
          <w:rFonts w:ascii="Garamond" w:eastAsia="Times New Roman" w:hAnsi="Garamond" w:cs="Times New Roman"/>
          <w:i/>
          <w:iCs/>
          <w:color w:val="000000"/>
          <w:sz w:val="30"/>
          <w:szCs w:val="30"/>
          <w:lang w:eastAsia="it-IT"/>
        </w:rPr>
        <w:t>g.a</w:t>
      </w:r>
      <w:proofErr w:type="spellEnd"/>
      <w:r w:rsidRPr="007455C2">
        <w:rPr>
          <w:rFonts w:ascii="Garamond" w:eastAsia="Times New Roman" w:hAnsi="Garamond" w:cs="Times New Roman"/>
          <w:i/>
          <w:iCs/>
          <w:color w:val="000000"/>
          <w:sz w:val="30"/>
          <w:szCs w:val="30"/>
          <w:lang w:eastAsia="it-IT"/>
        </w:rPr>
        <w:t xml:space="preserve">. per la cognizione delle relative controversie; l'art. 192 </w:t>
      </w:r>
      <w:proofErr w:type="spellStart"/>
      <w:r w:rsidRPr="007455C2">
        <w:rPr>
          <w:rFonts w:ascii="Garamond" w:eastAsia="Times New Roman" w:hAnsi="Garamond" w:cs="Times New Roman"/>
          <w:i/>
          <w:iCs/>
          <w:color w:val="000000"/>
          <w:sz w:val="30"/>
          <w:szCs w:val="30"/>
          <w:lang w:eastAsia="it-IT"/>
        </w:rPr>
        <w:t>d.leg</w:t>
      </w:r>
      <w:proofErr w:type="spellEnd"/>
      <w:r w:rsidRPr="007455C2">
        <w:rPr>
          <w:rFonts w:ascii="Garamond" w:eastAsia="Times New Roman" w:hAnsi="Garamond" w:cs="Times New Roman"/>
          <w:i/>
          <w:iCs/>
          <w:color w:val="000000"/>
          <w:sz w:val="30"/>
          <w:szCs w:val="30"/>
          <w:lang w:eastAsia="it-IT"/>
        </w:rPr>
        <w:t xml:space="preserve">. 267/2000 e l'art. 3 </w:t>
      </w:r>
      <w:proofErr w:type="spellStart"/>
      <w:r w:rsidRPr="007455C2">
        <w:rPr>
          <w:rFonts w:ascii="Garamond" w:eastAsia="Times New Roman" w:hAnsi="Garamond" w:cs="Times New Roman"/>
          <w:i/>
          <w:iCs/>
          <w:color w:val="000000"/>
          <w:sz w:val="30"/>
          <w:szCs w:val="30"/>
          <w:lang w:eastAsia="it-IT"/>
        </w:rPr>
        <w:t>r.d.</w:t>
      </w:r>
      <w:proofErr w:type="spellEnd"/>
      <w:r w:rsidRPr="007455C2">
        <w:rPr>
          <w:rFonts w:ascii="Garamond" w:eastAsia="Times New Roman" w:hAnsi="Garamond" w:cs="Times New Roman"/>
          <w:i/>
          <w:iCs/>
          <w:color w:val="000000"/>
          <w:sz w:val="30"/>
          <w:szCs w:val="30"/>
          <w:lang w:eastAsia="it-IT"/>
        </w:rPr>
        <w:t xml:space="preserve"> 2440/1923 stabiliscono che anche gli enti locali debbano indire gare mediante pubblico incanto o licitazione privata, a loro giudizio discrezionale; pertanto, in assenza di una diversa regola legislativa, l'amministrazione - qualora non stipuli senz'altro il contratto con un contraente ben individuato - deve utilizzare una procedura di evidenza pubblica; del resto, il rilievo pubblicistico di tali attività emerge da una visione complessiva dell'ordinamento, sia sotto i profili di responsabilità dei funzionari che ispirino le loro scelte a interessi contrapposti a quelli pubblici, sia sotto il profilo del rispetto dei principi di buon andamento e di imparzialità dell'azione amministrativa (con la connessa applicazione della normativa sul diritto d'accesso ai documenti amministrativi, in favore di chi vi abbia interesse)</w:t>
      </w:r>
      <w:r w:rsidRPr="007455C2">
        <w:rPr>
          <w:rFonts w:ascii="Garamond" w:eastAsia="Times New Roman" w:hAnsi="Garamond" w:cs="Times New Roman"/>
          <w:color w:val="000000"/>
          <w:sz w:val="30"/>
          <w:szCs w:val="30"/>
          <w:lang w:eastAsia="it-IT"/>
        </w:rPr>
        <w:t xml:space="preserve">” (il principio, affermato per una fattispecie di locazione passiva, è estensibile alle locazioni attive: cfr., infatti, per analoga conclusione, </w:t>
      </w:r>
      <w:proofErr w:type="spellStart"/>
      <w:r w:rsidRPr="007455C2">
        <w:rPr>
          <w:rFonts w:ascii="Garamond" w:eastAsia="Times New Roman" w:hAnsi="Garamond" w:cs="Times New Roman"/>
          <w:color w:val="000000"/>
          <w:sz w:val="30"/>
          <w:szCs w:val="30"/>
          <w:lang w:eastAsia="it-IT"/>
        </w:rPr>
        <w:t>Cons</w:t>
      </w:r>
      <w:proofErr w:type="spellEnd"/>
      <w:r w:rsidRPr="007455C2">
        <w:rPr>
          <w:rFonts w:ascii="Garamond" w:eastAsia="Times New Roman" w:hAnsi="Garamond" w:cs="Times New Roman"/>
          <w:color w:val="000000"/>
          <w:sz w:val="30"/>
          <w:szCs w:val="30"/>
          <w:lang w:eastAsia="it-IT"/>
        </w:rPr>
        <w:t>. Stato, sez. V, 13 dicembre 2012, n. 6400, che valorizza, nella condivisa prospettiva pubblicistica, il “</w:t>
      </w:r>
      <w:r w:rsidRPr="007455C2">
        <w:rPr>
          <w:rFonts w:ascii="Garamond" w:eastAsia="Times New Roman" w:hAnsi="Garamond" w:cs="Times New Roman"/>
          <w:i/>
          <w:iCs/>
          <w:color w:val="000000"/>
          <w:sz w:val="30"/>
          <w:szCs w:val="30"/>
          <w:lang w:eastAsia="it-IT"/>
        </w:rPr>
        <w:t>potere di gestione de propri beni d parte della P.A.</w:t>
      </w:r>
      <w:r w:rsidRPr="007455C2">
        <w:rPr>
          <w:rFonts w:ascii="Garamond" w:eastAsia="Times New Roman" w:hAnsi="Garamond" w:cs="Times New Roman"/>
          <w:color w:val="000000"/>
          <w:sz w:val="30"/>
          <w:szCs w:val="30"/>
          <w:lang w:eastAsia="it-IT"/>
        </w:rPr>
        <w:t xml:space="preserve">”; non osta alle riassunte conclusioni </w:t>
      </w:r>
      <w:proofErr w:type="spellStart"/>
      <w:r w:rsidRPr="007455C2">
        <w:rPr>
          <w:rFonts w:ascii="Garamond" w:eastAsia="Times New Roman" w:hAnsi="Garamond" w:cs="Times New Roman"/>
          <w:color w:val="000000"/>
          <w:sz w:val="30"/>
          <w:szCs w:val="30"/>
          <w:lang w:eastAsia="it-IT"/>
        </w:rPr>
        <w:t>Cass</w:t>
      </w:r>
      <w:proofErr w:type="spellEnd"/>
      <w:r w:rsidRPr="007455C2">
        <w:rPr>
          <w:rFonts w:ascii="Garamond" w:eastAsia="Times New Roman" w:hAnsi="Garamond" w:cs="Times New Roman"/>
          <w:color w:val="000000"/>
          <w:sz w:val="30"/>
          <w:szCs w:val="30"/>
          <w:lang w:eastAsia="it-IT"/>
        </w:rPr>
        <w:t>. SS.UU, 25 marzo 2016, n. 6019, che afferma la giurisdizione ordinaria </w:t>
      </w:r>
      <w:r w:rsidRPr="007455C2">
        <w:rPr>
          <w:rFonts w:ascii="Garamond" w:eastAsia="Times New Roman" w:hAnsi="Garamond" w:cs="Times New Roman"/>
          <w:i/>
          <w:iCs/>
          <w:color w:val="000000"/>
          <w:sz w:val="30"/>
          <w:szCs w:val="30"/>
          <w:lang w:eastAsia="it-IT"/>
        </w:rPr>
        <w:t xml:space="preserve">sul </w:t>
      </w:r>
      <w:r w:rsidRPr="007455C2">
        <w:rPr>
          <w:rFonts w:ascii="Garamond" w:eastAsia="Times New Roman" w:hAnsi="Garamond" w:cs="Times New Roman"/>
          <w:i/>
          <w:iCs/>
          <w:color w:val="000000"/>
          <w:sz w:val="30"/>
          <w:szCs w:val="30"/>
          <w:lang w:eastAsia="it-IT"/>
        </w:rPr>
        <w:lastRenderedPageBreak/>
        <w:t>rapporto locatizio</w:t>
      </w:r>
      <w:r w:rsidRPr="007455C2">
        <w:rPr>
          <w:rFonts w:ascii="Garamond" w:eastAsia="Times New Roman" w:hAnsi="Garamond" w:cs="Times New Roman"/>
          <w:color w:val="000000"/>
          <w:sz w:val="30"/>
          <w:szCs w:val="30"/>
          <w:lang w:eastAsia="it-IT"/>
        </w:rPr>
        <w:t>, per distinguerlo dal regime della </w:t>
      </w:r>
      <w:r w:rsidRPr="007455C2">
        <w:rPr>
          <w:rFonts w:ascii="Garamond" w:eastAsia="Times New Roman" w:hAnsi="Garamond" w:cs="Times New Roman"/>
          <w:i/>
          <w:iCs/>
          <w:color w:val="000000"/>
          <w:sz w:val="30"/>
          <w:szCs w:val="30"/>
          <w:lang w:eastAsia="it-IT"/>
        </w:rPr>
        <w:t>concessione </w:t>
      </w:r>
      <w:r w:rsidRPr="007455C2">
        <w:rPr>
          <w:rFonts w:ascii="Garamond" w:eastAsia="Times New Roman" w:hAnsi="Garamond" w:cs="Times New Roman"/>
          <w:color w:val="000000"/>
          <w:sz w:val="30"/>
          <w:szCs w:val="30"/>
          <w:lang w:eastAsia="it-IT"/>
        </w:rPr>
        <w:t>propria dei beni demaniali, senza occuparsi della fase evidenziale).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proofErr w:type="gramStart"/>
      <w:r w:rsidRPr="007455C2">
        <w:rPr>
          <w:rFonts w:ascii="Garamond" w:eastAsia="Times New Roman" w:hAnsi="Garamond" w:cs="Times New Roman"/>
          <w:color w:val="000000"/>
          <w:sz w:val="30"/>
          <w:szCs w:val="30"/>
          <w:lang w:eastAsia="it-IT"/>
        </w:rPr>
        <w:t>4.-</w:t>
      </w:r>
      <w:proofErr w:type="gramEnd"/>
      <w:r w:rsidRPr="007455C2">
        <w:rPr>
          <w:rFonts w:ascii="Garamond" w:eastAsia="Times New Roman" w:hAnsi="Garamond" w:cs="Times New Roman"/>
          <w:color w:val="000000"/>
          <w:sz w:val="30"/>
          <w:szCs w:val="30"/>
          <w:lang w:eastAsia="it-IT"/>
        </w:rPr>
        <w:t xml:space="preserve"> Il complesso delle esposte ragioni milita nel senso della affermazione della spettanza della lite alla giurisdizione amministrativa.</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 xml:space="preserve">La sentenza va, perciò, riformata e la controversia – in applicazione dell’art. 105 </w:t>
      </w:r>
      <w:proofErr w:type="spellStart"/>
      <w:r w:rsidRPr="007455C2">
        <w:rPr>
          <w:rFonts w:ascii="Garamond" w:eastAsia="Times New Roman" w:hAnsi="Garamond" w:cs="Times New Roman"/>
          <w:color w:val="000000"/>
          <w:sz w:val="30"/>
          <w:szCs w:val="30"/>
          <w:lang w:eastAsia="it-IT"/>
        </w:rPr>
        <w:t>c.p.a</w:t>
      </w:r>
      <w:proofErr w:type="spellEnd"/>
      <w:r w:rsidRPr="007455C2">
        <w:rPr>
          <w:rFonts w:ascii="Garamond" w:eastAsia="Times New Roman" w:hAnsi="Garamond" w:cs="Times New Roman"/>
          <w:color w:val="000000"/>
          <w:sz w:val="30"/>
          <w:szCs w:val="30"/>
          <w:lang w:eastAsia="it-IT"/>
        </w:rPr>
        <w:t>. – rimessa al giudice di primo grado per il prosieguo di cognizione.</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La complessità della vicenda e le ambiguità del riparto di giurisdizione </w:t>
      </w:r>
      <w:r w:rsidRPr="007455C2">
        <w:rPr>
          <w:rFonts w:ascii="Garamond" w:eastAsia="Times New Roman" w:hAnsi="Garamond" w:cs="Times New Roman"/>
          <w:i/>
          <w:iCs/>
          <w:color w:val="000000"/>
          <w:sz w:val="30"/>
          <w:szCs w:val="30"/>
          <w:lang w:eastAsia="it-IT"/>
        </w:rPr>
        <w:t xml:space="preserve">in </w:t>
      </w:r>
      <w:proofErr w:type="spellStart"/>
      <w:r w:rsidRPr="007455C2">
        <w:rPr>
          <w:rFonts w:ascii="Garamond" w:eastAsia="Times New Roman" w:hAnsi="Garamond" w:cs="Times New Roman"/>
          <w:i/>
          <w:iCs/>
          <w:color w:val="000000"/>
          <w:sz w:val="30"/>
          <w:szCs w:val="30"/>
          <w:lang w:eastAsia="it-IT"/>
        </w:rPr>
        <w:t>subiecta</w:t>
      </w:r>
      <w:proofErr w:type="spellEnd"/>
      <w:r w:rsidRPr="007455C2">
        <w:rPr>
          <w:rFonts w:ascii="Garamond" w:eastAsia="Times New Roman" w:hAnsi="Garamond" w:cs="Times New Roman"/>
          <w:i/>
          <w:iCs/>
          <w:color w:val="000000"/>
          <w:sz w:val="30"/>
          <w:szCs w:val="30"/>
          <w:lang w:eastAsia="it-IT"/>
        </w:rPr>
        <w:t xml:space="preserve"> materia</w:t>
      </w:r>
      <w:r w:rsidRPr="007455C2">
        <w:rPr>
          <w:rFonts w:ascii="Garamond" w:eastAsia="Times New Roman" w:hAnsi="Garamond" w:cs="Times New Roman"/>
          <w:color w:val="000000"/>
          <w:sz w:val="30"/>
          <w:szCs w:val="30"/>
          <w:lang w:eastAsia="it-IT"/>
        </w:rPr>
        <w:t> giustificano, anche in revisione della statuizione di prime cure sul punto, l’integrale compensazione di spese e competenze del doppio grado.</w:t>
      </w:r>
    </w:p>
    <w:p w:rsidR="007455C2" w:rsidRPr="007455C2" w:rsidRDefault="007455C2" w:rsidP="007455C2">
      <w:pPr>
        <w:spacing w:line="540" w:lineRule="atLeast"/>
        <w:jc w:val="center"/>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P.Q.M.</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Il Consiglio di Stato in sede giurisdizionale (Sezione Quinta), definitivamente pronunciando sull'appello, come in epigrafe proposto, lo accoglie e, per l’effetto, dichiara la sussistenza della giurisdizione amministrativa e rimette la causa al giudice di primo grado.</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Compensa le spese del doppio grado di giudizio.</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Ordina che la presente sentenza sia eseguita dall'autorità amministrativa.</w:t>
      </w:r>
    </w:p>
    <w:p w:rsidR="007455C2" w:rsidRPr="007455C2" w:rsidRDefault="007455C2" w:rsidP="007455C2">
      <w:pPr>
        <w:spacing w:line="520" w:lineRule="atLeas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Così deciso in Roma nella camera di consiglio del giorno 14 marzo 2019 con l'intervento dei magistrati:</w:t>
      </w:r>
    </w:p>
    <w:p w:rsidR="007455C2" w:rsidRPr="007455C2" w:rsidRDefault="007455C2" w:rsidP="007455C2">
      <w:pPr>
        <w:spacing w:line="520" w:lineRule="atLeast"/>
        <w:ind w:firstLine="567"/>
        <w:jc w:val="lef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Francesco Caringella, Presidente</w:t>
      </w:r>
    </w:p>
    <w:p w:rsidR="007455C2" w:rsidRPr="007455C2" w:rsidRDefault="007455C2" w:rsidP="007455C2">
      <w:pPr>
        <w:spacing w:line="520" w:lineRule="atLeast"/>
        <w:ind w:firstLine="567"/>
        <w:jc w:val="lef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 xml:space="preserve">Paolo Giovanni </w:t>
      </w:r>
      <w:proofErr w:type="spellStart"/>
      <w:r w:rsidRPr="007455C2">
        <w:rPr>
          <w:rFonts w:ascii="Garamond" w:eastAsia="Times New Roman" w:hAnsi="Garamond" w:cs="Times New Roman"/>
          <w:color w:val="000000"/>
          <w:sz w:val="30"/>
          <w:szCs w:val="30"/>
          <w:lang w:eastAsia="it-IT"/>
        </w:rPr>
        <w:t>Nicolo'</w:t>
      </w:r>
      <w:proofErr w:type="spellEnd"/>
      <w:r w:rsidRPr="007455C2">
        <w:rPr>
          <w:rFonts w:ascii="Garamond" w:eastAsia="Times New Roman" w:hAnsi="Garamond" w:cs="Times New Roman"/>
          <w:color w:val="000000"/>
          <w:sz w:val="30"/>
          <w:szCs w:val="30"/>
          <w:lang w:eastAsia="it-IT"/>
        </w:rPr>
        <w:t xml:space="preserve"> Lotti, Consigliere</w:t>
      </w:r>
    </w:p>
    <w:p w:rsidR="007455C2" w:rsidRPr="007455C2" w:rsidRDefault="007455C2" w:rsidP="007455C2">
      <w:pPr>
        <w:spacing w:line="520" w:lineRule="atLeast"/>
        <w:ind w:firstLine="567"/>
        <w:jc w:val="lef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Raffaele Prosperi, Consigliere</w:t>
      </w:r>
    </w:p>
    <w:p w:rsidR="007455C2" w:rsidRPr="007455C2" w:rsidRDefault="007455C2" w:rsidP="007455C2">
      <w:pPr>
        <w:spacing w:line="520" w:lineRule="atLeast"/>
        <w:ind w:firstLine="567"/>
        <w:jc w:val="lef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Giovanni Grasso, Consigliere, Estensore</w:t>
      </w:r>
    </w:p>
    <w:p w:rsidR="007455C2" w:rsidRPr="007455C2" w:rsidRDefault="007455C2" w:rsidP="007455C2">
      <w:pPr>
        <w:spacing w:line="520" w:lineRule="atLeast"/>
        <w:ind w:firstLine="567"/>
        <w:jc w:val="left"/>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 xml:space="preserve">Giuseppina Luciana </w:t>
      </w:r>
      <w:proofErr w:type="spellStart"/>
      <w:r w:rsidRPr="007455C2">
        <w:rPr>
          <w:rFonts w:ascii="Garamond" w:eastAsia="Times New Roman" w:hAnsi="Garamond" w:cs="Times New Roman"/>
          <w:color w:val="000000"/>
          <w:sz w:val="30"/>
          <w:szCs w:val="30"/>
          <w:lang w:eastAsia="it-IT"/>
        </w:rPr>
        <w:t>Barreca</w:t>
      </w:r>
      <w:proofErr w:type="spellEnd"/>
      <w:r w:rsidRPr="007455C2">
        <w:rPr>
          <w:rFonts w:ascii="Garamond" w:eastAsia="Times New Roman" w:hAnsi="Garamond" w:cs="Times New Roman"/>
          <w:color w:val="000000"/>
          <w:sz w:val="30"/>
          <w:szCs w:val="30"/>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4235"/>
        <w:gridCol w:w="75"/>
        <w:gridCol w:w="5328"/>
      </w:tblGrid>
      <w:tr w:rsidR="007455C2" w:rsidRPr="007455C2" w:rsidTr="007455C2">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 </w:t>
            </w: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p>
        </w:tc>
        <w:tc>
          <w:tcPr>
            <w:tcW w:w="0" w:type="auto"/>
            <w:vAlign w:val="center"/>
            <w:hideMark/>
          </w:tcPr>
          <w:p w:rsidR="007455C2" w:rsidRPr="007455C2" w:rsidRDefault="007455C2" w:rsidP="007455C2">
            <w:pPr>
              <w:jc w:val="center"/>
              <w:rPr>
                <w:rFonts w:ascii="Times New Roman" w:eastAsia="Times New Roman" w:hAnsi="Times New Roman" w:cs="Times New Roman"/>
                <w:sz w:val="20"/>
                <w:szCs w:val="20"/>
                <w:lang w:eastAsia="it-IT"/>
              </w:rPr>
            </w:pPr>
          </w:p>
        </w:tc>
      </w:tr>
      <w:tr w:rsidR="007455C2" w:rsidRPr="007455C2" w:rsidTr="007455C2">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 </w:t>
            </w: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p>
        </w:tc>
        <w:tc>
          <w:tcPr>
            <w:tcW w:w="0" w:type="auto"/>
            <w:vAlign w:val="center"/>
            <w:hideMark/>
          </w:tcPr>
          <w:p w:rsidR="007455C2" w:rsidRPr="007455C2" w:rsidRDefault="007455C2" w:rsidP="007455C2">
            <w:pPr>
              <w:jc w:val="center"/>
              <w:rPr>
                <w:rFonts w:ascii="Times New Roman" w:eastAsia="Times New Roman" w:hAnsi="Times New Roman" w:cs="Times New Roman"/>
                <w:sz w:val="20"/>
                <w:szCs w:val="20"/>
                <w:lang w:eastAsia="it-IT"/>
              </w:rPr>
            </w:pPr>
          </w:p>
        </w:tc>
      </w:tr>
      <w:tr w:rsidR="007455C2" w:rsidRPr="007455C2" w:rsidTr="007455C2">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L'ESTENSORE</w:t>
            </w: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IL PRESIDENTE</w:t>
            </w:r>
          </w:p>
        </w:tc>
      </w:tr>
      <w:tr w:rsidR="007455C2" w:rsidRPr="007455C2" w:rsidTr="007455C2">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Giovanni Grasso</w:t>
            </w: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Francesco Caringella</w:t>
            </w:r>
          </w:p>
        </w:tc>
      </w:tr>
      <w:tr w:rsidR="007455C2" w:rsidRPr="007455C2" w:rsidTr="007455C2">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 </w:t>
            </w: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p>
        </w:tc>
        <w:tc>
          <w:tcPr>
            <w:tcW w:w="0" w:type="auto"/>
            <w:vAlign w:val="center"/>
            <w:hideMark/>
          </w:tcPr>
          <w:p w:rsidR="007455C2" w:rsidRPr="007455C2" w:rsidRDefault="007455C2" w:rsidP="007455C2">
            <w:pPr>
              <w:jc w:val="center"/>
              <w:rPr>
                <w:rFonts w:ascii="Times New Roman" w:eastAsia="Times New Roman" w:hAnsi="Times New Roman" w:cs="Times New Roman"/>
                <w:sz w:val="20"/>
                <w:szCs w:val="20"/>
                <w:lang w:eastAsia="it-IT"/>
              </w:rPr>
            </w:pPr>
          </w:p>
        </w:tc>
      </w:tr>
      <w:tr w:rsidR="007455C2" w:rsidRPr="007455C2" w:rsidTr="007455C2">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 </w:t>
            </w: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p>
        </w:tc>
        <w:tc>
          <w:tcPr>
            <w:tcW w:w="0" w:type="auto"/>
            <w:vAlign w:val="center"/>
            <w:hideMark/>
          </w:tcPr>
          <w:p w:rsidR="007455C2" w:rsidRPr="007455C2" w:rsidRDefault="007455C2" w:rsidP="007455C2">
            <w:pPr>
              <w:jc w:val="center"/>
              <w:rPr>
                <w:rFonts w:ascii="Times New Roman" w:eastAsia="Times New Roman" w:hAnsi="Times New Roman" w:cs="Times New Roman"/>
                <w:sz w:val="20"/>
                <w:szCs w:val="20"/>
                <w:lang w:eastAsia="it-IT"/>
              </w:rPr>
            </w:pPr>
          </w:p>
        </w:tc>
      </w:tr>
      <w:tr w:rsidR="007455C2" w:rsidRPr="007455C2" w:rsidTr="007455C2">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lastRenderedPageBreak/>
              <w:t> </w:t>
            </w: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p>
        </w:tc>
        <w:tc>
          <w:tcPr>
            <w:tcW w:w="0" w:type="auto"/>
            <w:vAlign w:val="center"/>
            <w:hideMark/>
          </w:tcPr>
          <w:p w:rsidR="007455C2" w:rsidRPr="007455C2" w:rsidRDefault="007455C2" w:rsidP="007455C2">
            <w:pPr>
              <w:jc w:val="center"/>
              <w:rPr>
                <w:rFonts w:ascii="Times New Roman" w:eastAsia="Times New Roman" w:hAnsi="Times New Roman" w:cs="Times New Roman"/>
                <w:sz w:val="20"/>
                <w:szCs w:val="20"/>
                <w:lang w:eastAsia="it-IT"/>
              </w:rPr>
            </w:pPr>
          </w:p>
        </w:tc>
      </w:tr>
      <w:tr w:rsidR="007455C2" w:rsidRPr="007455C2" w:rsidTr="007455C2">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 </w:t>
            </w: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p>
        </w:tc>
        <w:tc>
          <w:tcPr>
            <w:tcW w:w="0" w:type="auto"/>
            <w:vAlign w:val="center"/>
            <w:hideMark/>
          </w:tcPr>
          <w:p w:rsidR="007455C2" w:rsidRPr="007455C2" w:rsidRDefault="007455C2" w:rsidP="007455C2">
            <w:pPr>
              <w:jc w:val="center"/>
              <w:rPr>
                <w:rFonts w:ascii="Times New Roman" w:eastAsia="Times New Roman" w:hAnsi="Times New Roman" w:cs="Times New Roman"/>
                <w:sz w:val="20"/>
                <w:szCs w:val="20"/>
                <w:lang w:eastAsia="it-IT"/>
              </w:rPr>
            </w:pPr>
          </w:p>
        </w:tc>
      </w:tr>
      <w:tr w:rsidR="007455C2" w:rsidRPr="007455C2" w:rsidTr="007455C2">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r w:rsidRPr="007455C2">
              <w:rPr>
                <w:rFonts w:ascii="Times New Roman" w:eastAsia="Times New Roman" w:hAnsi="Times New Roman" w:cs="Times New Roman"/>
                <w:b/>
                <w:bCs/>
                <w:szCs w:val="28"/>
                <w:lang w:eastAsia="it-IT"/>
              </w:rPr>
              <w:t> </w:t>
            </w:r>
          </w:p>
        </w:tc>
        <w:tc>
          <w:tcPr>
            <w:tcW w:w="0" w:type="auto"/>
            <w:vAlign w:val="center"/>
            <w:hideMark/>
          </w:tcPr>
          <w:p w:rsidR="007455C2" w:rsidRPr="007455C2" w:rsidRDefault="007455C2" w:rsidP="007455C2">
            <w:pPr>
              <w:jc w:val="center"/>
              <w:rPr>
                <w:rFonts w:ascii="Times New Roman" w:eastAsia="Times New Roman" w:hAnsi="Times New Roman" w:cs="Times New Roman"/>
                <w:b/>
                <w:bCs/>
                <w:szCs w:val="28"/>
                <w:lang w:eastAsia="it-IT"/>
              </w:rPr>
            </w:pPr>
          </w:p>
        </w:tc>
        <w:tc>
          <w:tcPr>
            <w:tcW w:w="0" w:type="auto"/>
            <w:vAlign w:val="center"/>
            <w:hideMark/>
          </w:tcPr>
          <w:p w:rsidR="007455C2" w:rsidRPr="007455C2" w:rsidRDefault="007455C2" w:rsidP="007455C2">
            <w:pPr>
              <w:jc w:val="center"/>
              <w:rPr>
                <w:rFonts w:ascii="Times New Roman" w:eastAsia="Times New Roman" w:hAnsi="Times New Roman" w:cs="Times New Roman"/>
                <w:sz w:val="20"/>
                <w:szCs w:val="20"/>
                <w:lang w:eastAsia="it-IT"/>
              </w:rPr>
            </w:pPr>
          </w:p>
        </w:tc>
      </w:tr>
    </w:tbl>
    <w:p w:rsidR="007455C2" w:rsidRPr="007455C2" w:rsidRDefault="007455C2" w:rsidP="007455C2">
      <w:pPr>
        <w:spacing w:line="540" w:lineRule="atLeast"/>
        <w:jc w:val="center"/>
        <w:rPr>
          <w:rFonts w:ascii="Garamond" w:eastAsia="Times New Roman" w:hAnsi="Garamond" w:cs="Times New Roman"/>
          <w:color w:val="000000"/>
          <w:sz w:val="30"/>
          <w:szCs w:val="30"/>
          <w:lang w:eastAsia="it-IT"/>
        </w:rPr>
      </w:pPr>
      <w:r w:rsidRPr="007455C2">
        <w:rPr>
          <w:rFonts w:ascii="Garamond" w:eastAsia="Times New Roman" w:hAnsi="Garamond" w:cs="Times New Roman"/>
          <w:color w:val="000000"/>
          <w:sz w:val="30"/>
          <w:szCs w:val="30"/>
          <w:lang w:eastAsia="it-IT"/>
        </w:rPr>
        <w:t>IL SEGRETARIO</w:t>
      </w:r>
    </w:p>
    <w:p w:rsidR="0076538A" w:rsidRDefault="0076538A">
      <w:bookmarkStart w:id="0" w:name="_GoBack"/>
      <w:bookmarkEnd w:id="0"/>
    </w:p>
    <w:sectPr w:rsidR="007653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C2"/>
    <w:rsid w:val="007455C2"/>
    <w:rsid w:val="00765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FE94F-93DB-4D72-9243-9F4F9076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8"/>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7455C2"/>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7455C2"/>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innome">
    <w:name w:val="innome"/>
    <w:basedOn w:val="Normale"/>
    <w:rsid w:val="007455C2"/>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sezione">
    <w:name w:val="sezione"/>
    <w:basedOn w:val="Normale"/>
    <w:rsid w:val="007455C2"/>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tabula">
    <w:name w:val="tabula"/>
    <w:basedOn w:val="Normale"/>
    <w:rsid w:val="007455C2"/>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popolo">
    <w:name w:val="popolo"/>
    <w:basedOn w:val="Normale"/>
    <w:rsid w:val="007455C2"/>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contro">
    <w:name w:val="contro"/>
    <w:basedOn w:val="Normale"/>
    <w:rsid w:val="007455C2"/>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fatto">
    <w:name w:val="fatto"/>
    <w:basedOn w:val="Normale"/>
    <w:rsid w:val="007455C2"/>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1880</Words>
  <Characters>10718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1</cp:revision>
  <dcterms:created xsi:type="dcterms:W3CDTF">2019-08-24T13:27:00Z</dcterms:created>
  <dcterms:modified xsi:type="dcterms:W3CDTF">2019-08-24T13:29:00Z</dcterms:modified>
</cp:coreProperties>
</file>